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color w:val="auto"/>
          <w:highlight w:val="none"/>
        </w:rPr>
      </w:pPr>
      <w:r>
        <w:rPr>
          <w:color w:val="auto"/>
          <w:highlight w:val="none"/>
        </w:rPr>
      </w:r>
      <w:r/>
    </w:p>
    <w:p>
      <w:pPr>
        <w:rPr>
          <w:color w:val="auto"/>
          <w:highlight w:val="none"/>
        </w:rPr>
      </w:pPr>
      <w:r/>
      <w:bookmarkStart w:id="0" w:name="EB3ace3d43b98b41779337deb808be6fa3"/>
      <w:r>
        <w:rPr>
          <w:rFonts w:hint="eastAsia"/>
          <w:color w:val="auto"/>
          <w:sz w:val="20"/>
          <w:highlight w:val="none"/>
        </w:rPr>
        <w:t xml:space="preserve"> </w:t>
      </w:r>
      <w:bookmarkEnd w:id="0"/>
      <w:r/>
      <w:bookmarkStart w:id="1" w:name="EB57dd2a69e2b54b0cb3f5c2f03a1ab7bf"/>
      <w:r>
        <w:rPr>
          <w:rFonts w:hint="eastAsia"/>
          <w:color w:val="auto"/>
          <w:sz w:val="20"/>
          <w:highlight w:val="none"/>
        </w:rPr>
        <w:t xml:space="preserve"> </w:t>
      </w:r>
      <w:bookmarkEnd w:id="1"/>
      <w:r/>
      <w:r/>
    </w:p>
    <w:p>
      <w:pPr>
        <w:rPr>
          <w:color w:val="auto"/>
          <w:highlight w:val="none"/>
        </w:rPr>
      </w:pPr>
      <w:r>
        <w:rPr>
          <w:color w:val="auto"/>
          <w:highlight w:val="none"/>
        </w:rPr>
      </w:r>
      <w:r/>
    </w:p>
    <w:p>
      <w:pPr>
        <w:jc w:val="center"/>
        <w:spacing w:before="120" w:after="120" w:line="360" w:lineRule="auto"/>
        <w:rPr>
          <w:rFonts w:hint="eastAsia" w:ascii="Arial" w:hAnsi="Arial" w:eastAsia="黑体" w:cs="黑体"/>
          <w:b/>
          <w:color w:val="auto"/>
          <w:sz w:val="84"/>
          <w:szCs w:val="24"/>
          <w:highlight w:val="none"/>
          <w:lang w:bidi="ar"/>
        </w:rPr>
      </w:pPr>
      <w:r>
        <w:rPr>
          <w:rFonts w:hint="eastAsia" w:ascii="Arial" w:hAnsi="Arial" w:eastAsia="黑体" w:cs="黑体"/>
          <w:b/>
          <w:color w:val="auto"/>
          <w:sz w:val="84"/>
          <w:szCs w:val="24"/>
          <w:highlight w:val="none"/>
          <w:lang w:bidi="ar"/>
        </w:rPr>
        <w:t xml:space="preserve">招　标　文　件</w:t>
      </w:r>
      <w:r/>
    </w:p>
    <w:p>
      <w:pPr>
        <w:rPr>
          <w:rFonts w:hint="eastAsia" w:ascii="Times New Roman" w:hAnsi="Times New Roman" w:cs="宋体"/>
          <w:b/>
          <w:color w:val="auto"/>
          <w:sz w:val="30"/>
          <w:szCs w:val="30"/>
          <w:highlight w:val="none"/>
          <w:lang w:bidi="ar"/>
        </w:rPr>
      </w:pPr>
      <w:r>
        <w:rPr>
          <w:rFonts w:hint="eastAsia" w:ascii="Times New Roman" w:hAnsi="Times New Roman" w:cs="宋体"/>
          <w:b/>
          <w:color w:val="auto"/>
          <w:sz w:val="30"/>
          <w:szCs w:val="30"/>
          <w:highlight w:val="none"/>
          <w:lang w:bidi="ar"/>
        </w:rPr>
      </w:r>
      <w:r/>
    </w:p>
    <w:p>
      <w:pPr>
        <w:rPr>
          <w:rFonts w:hint="eastAsia" w:ascii="Times New Roman" w:hAnsi="Times New Roman" w:cs="宋体"/>
          <w:b/>
          <w:color w:val="auto"/>
          <w:sz w:val="30"/>
          <w:szCs w:val="30"/>
          <w:highlight w:val="none"/>
          <w:lang w:bidi="ar"/>
        </w:rPr>
      </w:pPr>
      <w:r>
        <w:rPr>
          <w:rFonts w:hint="eastAsia" w:ascii="Times New Roman" w:hAnsi="Times New Roman" w:cs="宋体"/>
          <w:b/>
          <w:color w:val="auto"/>
          <w:sz w:val="30"/>
          <w:szCs w:val="30"/>
          <w:highlight w:val="none"/>
          <w:lang w:bidi="ar"/>
        </w:rPr>
      </w:r>
      <w:r/>
    </w:p>
    <w:p>
      <w:pPr>
        <w:ind w:firstLine="1506"/>
        <w:rPr>
          <w:rFonts w:hint="eastAsia" w:ascii="Times New Roman" w:hAnsi="Times New Roman" w:cs="宋体"/>
          <w:b/>
          <w:color w:val="auto"/>
          <w:sz w:val="30"/>
          <w:szCs w:val="30"/>
          <w:highlight w:val="none"/>
          <w:lang w:bidi="ar"/>
        </w:rPr>
      </w:pPr>
      <w:r>
        <w:rPr>
          <w:rFonts w:hint="eastAsia" w:ascii="Times New Roman" w:hAnsi="Times New Roman" w:cs="宋体"/>
          <w:b/>
          <w:color w:val="auto"/>
          <w:sz w:val="30"/>
          <w:szCs w:val="30"/>
          <w:highlight w:val="none"/>
          <w:lang w:bidi="ar"/>
        </w:rPr>
      </w:r>
      <w:r/>
    </w:p>
    <w:p>
      <w:pPr>
        <w:ind w:firstLine="1506"/>
        <w:rPr>
          <w:rFonts w:hint="eastAsia" w:ascii="Times New Roman" w:hAnsi="Times New Roman" w:cs="宋体"/>
          <w:b/>
          <w:color w:val="auto"/>
          <w:sz w:val="30"/>
          <w:szCs w:val="30"/>
          <w:highlight w:val="none"/>
          <w:lang w:bidi="ar"/>
        </w:rPr>
      </w:pPr>
      <w:r>
        <w:rPr>
          <w:rFonts w:hint="eastAsia" w:ascii="Times New Roman" w:hAnsi="Times New Roman" w:cs="宋体"/>
          <w:b/>
          <w:color w:val="auto"/>
          <w:sz w:val="30"/>
          <w:szCs w:val="30"/>
          <w:highlight w:val="none"/>
          <w:lang w:bidi="ar"/>
        </w:rPr>
      </w:r>
      <w:r/>
    </w:p>
    <w:p>
      <w:pPr>
        <w:ind w:firstLine="1584"/>
        <w:spacing w:line="400" w:lineRule="exact"/>
        <w:rPr>
          <w:rFonts w:hint="eastAsia" w:ascii="宋体" w:hAnsi="宋体" w:eastAsia="宋体" w:cs="宋体"/>
          <w:sz w:val="24"/>
          <w:szCs w:val="24"/>
          <w:highlight w:val="none"/>
          <w:shd w:val="clear" w:color="auto" w:fill="ffffff"/>
          <w:lang w:eastAsia="zh-CN"/>
        </w:rPr>
      </w:pPr>
      <w:r>
        <w:rPr>
          <w:rFonts w:hint="eastAsia" w:ascii="Times New Roman" w:hAnsi="Times New Roman" w:cs="宋体"/>
          <w:b/>
          <w:color w:val="auto"/>
          <w:sz w:val="30"/>
          <w:szCs w:val="30"/>
          <w:highlight w:val="none"/>
          <w:lang w:bidi="ar"/>
        </w:rPr>
        <w:t xml:space="preserve">项目名称：</w:t>
      </w:r>
      <w:r>
        <w:rPr>
          <w:rFonts w:hint="eastAsia" w:ascii="方正仿宋_GB2312" w:hAnsi="方正仿宋_GB2312" w:eastAsia="方正仿宋_GB2312" w:cs="方正仿宋_GB2312"/>
          <w:sz w:val="24"/>
          <w:szCs w:val="24"/>
          <w:highlight w:val="none"/>
          <w:lang w:eastAsia="zh-CN"/>
        </w:rPr>
        <w:t xml:space="preserve">沭阳县城区部分老旧小区电梯更新项目</w:t>
      </w:r>
      <w:r/>
    </w:p>
    <w:p>
      <w:pPr>
        <w:ind w:firstLine="1506"/>
        <w:rPr>
          <w:rFonts w:hint="eastAsia"/>
          <w:b/>
          <w:color w:val="auto"/>
          <w:sz w:val="30"/>
          <w:szCs w:val="30"/>
          <w:highlight w:val="none"/>
        </w:rPr>
      </w:pPr>
      <w:r>
        <w:rPr>
          <w:rFonts w:hint="eastAsia"/>
          <w:b/>
          <w:color w:val="auto"/>
          <w:sz w:val="30"/>
          <w:szCs w:val="30"/>
          <w:highlight w:val="none"/>
        </w:rPr>
      </w:r>
      <w:r/>
    </w:p>
    <w:p>
      <w:pPr>
        <w:ind w:firstLine="1506"/>
        <w:rPr>
          <w:rFonts w:hint="eastAsia" w:ascii="Times New Roman" w:hAnsi="Times New Roman" w:cs="宋体"/>
          <w:b/>
          <w:color w:val="auto"/>
          <w:sz w:val="30"/>
          <w:szCs w:val="30"/>
          <w:highlight w:val="none"/>
          <w:lang w:bidi="ar"/>
        </w:rPr>
      </w:pPr>
      <w:r>
        <w:rPr>
          <w:rFonts w:hint="eastAsia" w:ascii="Times New Roman" w:hAnsi="Times New Roman" w:cs="宋体"/>
          <w:b/>
          <w:color w:val="auto"/>
          <w:sz w:val="30"/>
          <w:szCs w:val="30"/>
          <w:highlight w:val="none"/>
          <w:lang w:bidi="ar"/>
        </w:rPr>
      </w:r>
      <w:r/>
    </w:p>
    <w:p>
      <w:pPr>
        <w:ind w:firstLine="1506"/>
        <w:rPr>
          <w:rFonts w:ascii="Times New Roman" w:hAnsi="Times New Roman" w:cs="宋体"/>
          <w:b/>
          <w:color w:val="auto"/>
          <w:sz w:val="30"/>
          <w:szCs w:val="30"/>
          <w:highlight w:val="none"/>
          <w:lang w:bidi="ar"/>
        </w:rPr>
      </w:pPr>
      <w:r>
        <w:rPr>
          <w:rFonts w:hint="eastAsia" w:ascii="Times New Roman" w:hAnsi="Times New Roman" w:cs="宋体"/>
          <w:b/>
          <w:color w:val="auto"/>
          <w:sz w:val="30"/>
          <w:szCs w:val="30"/>
          <w:highlight w:val="none"/>
          <w:lang w:bidi="ar"/>
        </w:rPr>
        <w:t xml:space="preserve">项目编号：</w:t>
      </w:r>
      <w:r>
        <w:rPr>
          <w:rFonts w:hint="eastAsia" w:ascii="方正仿宋_GB2312" w:hAnsi="方正仿宋_GB2312" w:eastAsia="方正仿宋_GB2312" w:cs="方正仿宋_GB2312"/>
          <w:i w:val="0"/>
          <w:iCs w:val="0"/>
          <w:caps w:val="0"/>
          <w:color w:val="000000"/>
          <w:spacing w:val="0"/>
          <w:sz w:val="27"/>
          <w:szCs w:val="27"/>
        </w:rPr>
        <w:t xml:space="preserve">JSZC-321322-JZCG-G2025</w:t>
      </w:r>
      <w:r>
        <w:rPr>
          <w:rFonts w:ascii="sans-serif" w:hAnsi="sans-serif" w:eastAsia="sans-serif" w:cs="sans-serif"/>
          <w:i w:val="0"/>
          <w:iCs w:val="0"/>
          <w:caps w:val="0"/>
          <w:color w:val="000000"/>
          <w:spacing w:val="0"/>
          <w:sz w:val="27"/>
          <w:szCs w:val="27"/>
        </w:rPr>
        <w:t xml:space="preserve">-</w:t>
      </w:r>
      <w:r>
        <w:rPr>
          <w:rFonts w:hint="eastAsia" w:ascii="方正仿宋_GB18030" w:hAnsi="方正仿宋_GB18030" w:eastAsia="方正仿宋_GB18030" w:cs="方正仿宋_GB18030"/>
          <w:i w:val="0"/>
          <w:iCs w:val="0"/>
          <w:caps w:val="0"/>
          <w:color w:val="000000"/>
          <w:spacing w:val="0"/>
          <w:sz w:val="27"/>
          <w:szCs w:val="27"/>
        </w:rPr>
        <w:t xml:space="preserve">0007</w:t>
      </w:r>
      <w:r/>
    </w:p>
    <w:p>
      <w:pPr>
        <w:ind w:left="2800" w:hanging="2800"/>
        <w:rPr>
          <w:rFonts w:ascii="Times New Roman" w:hAnsi="Times New Roman"/>
          <w:color w:val="auto"/>
          <w:sz w:val="28"/>
          <w:szCs w:val="28"/>
          <w:highlight w:val="none"/>
          <w:lang w:bidi="ar"/>
        </w:rPr>
      </w:pPr>
      <w:r>
        <w:rPr>
          <w:rFonts w:ascii="Times New Roman" w:hAnsi="Times New Roman"/>
          <w:color w:val="auto"/>
          <w:sz w:val="28"/>
          <w:szCs w:val="28"/>
          <w:highlight w:val="none"/>
          <w:lang w:bidi="ar"/>
        </w:rPr>
      </w:r>
      <w:r/>
    </w:p>
    <w:p>
      <w:pPr>
        <w:ind w:left="2800" w:hanging="2800"/>
        <w:rPr>
          <w:b/>
          <w:bCs w:val="0"/>
          <w:color w:val="auto"/>
          <w:sz w:val="28"/>
          <w:szCs w:val="28"/>
          <w:highlight w:val="none"/>
        </w:rPr>
      </w:pPr>
      <w:r>
        <w:rPr>
          <w:b/>
          <w:bCs w:val="0"/>
          <w:color w:val="auto"/>
          <w:sz w:val="28"/>
          <w:szCs w:val="28"/>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bl>
      <w:tblPr>
        <w:tblStyle w:val="673"/>
        <w:tblpPr w:horzAnchor="page" w:tblpX="2413" w:vertAnchor="text" w:tblpY="466" w:leftFromText="180" w:topFromText="0" w:rightFromText="180" w:bottomFromText="0"/>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方正仿宋_GB2312" w:hAnsi="方正仿宋_GB2312" w:eastAsia="方正仿宋_GB2312" w:cs="方正仿宋_GB2312"/>
                <w:b w:val="0"/>
                <w:bCs w:val="0"/>
                <w:color w:val="auto"/>
                <w:sz w:val="32"/>
                <w:szCs w:val="24"/>
                <w:highlight w:val="none"/>
              </w:rPr>
            </w:pPr>
            <w:r>
              <w:rPr>
                <w:rFonts w:hint="eastAsia" w:ascii="方正仿宋_GB2312" w:hAnsi="方正仿宋_GB2312" w:eastAsia="方正仿宋_GB2312" w:cs="方正仿宋_GB2312"/>
                <w:b w:val="0"/>
                <w:bCs w:val="0"/>
                <w:color w:val="auto"/>
                <w:sz w:val="32"/>
                <w:szCs w:val="24"/>
                <w:highlight w:val="none"/>
              </w:rPr>
              <w:t xml:space="preserve">采  </w:t>
            </w:r>
            <w:r>
              <w:rPr>
                <w:rFonts w:hint="eastAsia" w:ascii="方正仿宋_GB2312" w:hAnsi="方正仿宋_GB2312" w:eastAsia="方正仿宋_GB2312" w:cs="方正仿宋_GB2312"/>
                <w:b w:val="0"/>
                <w:bCs w:val="0"/>
                <w:color w:val="auto"/>
                <w:sz w:val="32"/>
                <w:szCs w:val="24"/>
                <w:highlight w:val="none"/>
                <w:lang w:val="en-US" w:eastAsia="zh-CN"/>
              </w:rPr>
              <w:t xml:space="preserve"> </w:t>
            </w:r>
            <w:r>
              <w:rPr>
                <w:rFonts w:hint="eastAsia" w:ascii="方正仿宋_GB2312" w:hAnsi="方正仿宋_GB2312" w:eastAsia="方正仿宋_GB2312" w:cs="方正仿宋_GB2312"/>
                <w:b w:val="0"/>
                <w:bCs w:val="0"/>
                <w:color w:val="auto"/>
                <w:sz w:val="32"/>
                <w:szCs w:val="24"/>
                <w:highlight w:val="none"/>
              </w:rPr>
              <w:t xml:space="preserve">购</w:t>
            </w:r>
            <w:r>
              <w:rPr>
                <w:rFonts w:hint="eastAsia" w:ascii="方正仿宋_GB2312" w:hAnsi="方正仿宋_GB2312" w:eastAsia="方正仿宋_GB2312" w:cs="方正仿宋_GB2312"/>
                <w:b w:val="0"/>
                <w:bCs w:val="0"/>
                <w:color w:val="auto"/>
                <w:sz w:val="32"/>
                <w:szCs w:val="24"/>
                <w:highlight w:val="none"/>
                <w:lang w:val="en-US" w:eastAsia="zh-CN"/>
              </w:rPr>
              <w:t xml:space="preserve">  </w:t>
            </w:r>
            <w:r>
              <w:rPr>
                <w:rFonts w:hint="eastAsia" w:ascii="方正仿宋_GB2312" w:hAnsi="方正仿宋_GB2312" w:eastAsia="方正仿宋_GB2312" w:cs="方正仿宋_GB2312"/>
                <w:b w:val="0"/>
                <w:bCs w:val="0"/>
                <w:color w:val="auto"/>
                <w:sz w:val="32"/>
                <w:szCs w:val="24"/>
                <w:highlight w:val="none"/>
              </w:rPr>
              <w:t xml:space="preserve"> 人：</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方正仿宋_GB2312" w:hAnsi="方正仿宋_GB2312" w:eastAsia="方正仿宋_GB2312" w:cs="方正仿宋_GB2312"/>
                <w:b w:val="0"/>
                <w:bCs w:val="0"/>
                <w:color w:val="auto"/>
                <w:sz w:val="32"/>
                <w:szCs w:val="24"/>
                <w:highlight w:val="none"/>
                <w:lang w:val="en-US" w:eastAsia="zh-CN"/>
              </w:rPr>
            </w:pPr>
            <w:r>
              <w:rPr>
                <w:rFonts w:hint="eastAsia" w:ascii="方正仿宋_GB2312" w:hAnsi="方正仿宋_GB2312" w:eastAsia="方正仿宋_GB2312" w:cs="方正仿宋_GB2312"/>
                <w:b w:val="0"/>
                <w:bCs w:val="0"/>
                <w:color w:val="auto"/>
                <w:sz w:val="32"/>
                <w:szCs w:val="24"/>
                <w:highlight w:val="none"/>
                <w:lang w:val="en-US" w:eastAsia="zh-CN"/>
              </w:rPr>
              <w:t xml:space="preserve">沭阳县城市管理局</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方正仿宋_GB2312" w:hAnsi="方正仿宋_GB2312" w:eastAsia="方正仿宋_GB2312" w:cs="方正仿宋_GB2312"/>
                <w:b w:val="0"/>
                <w:bCs w:val="0"/>
                <w:color w:val="auto"/>
                <w:spacing w:val="45"/>
                <w:sz w:val="32"/>
                <w:szCs w:val="24"/>
                <w:highlight w:val="none"/>
              </w:rPr>
            </w:pPr>
            <w:r>
              <w:rPr>
                <w:rFonts w:hint="eastAsia" w:ascii="方正仿宋_GB2312" w:hAnsi="方正仿宋_GB2312" w:eastAsia="方正仿宋_GB2312" w:cs="方正仿宋_GB2312"/>
                <w:b w:val="0"/>
                <w:bCs w:val="0"/>
                <w:color w:val="auto"/>
                <w:sz w:val="32"/>
                <w:szCs w:val="24"/>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方正仿宋_GB2312" w:hAnsi="方正仿宋_GB2312" w:eastAsia="方正仿宋_GB2312" w:cs="方正仿宋_GB2312"/>
                <w:b w:val="0"/>
                <w:bCs w:val="0"/>
                <w:color w:val="auto"/>
                <w:sz w:val="24"/>
                <w:szCs w:val="24"/>
                <w:highlight w:val="none"/>
                <w:lang w:val="en-US" w:eastAsia="zh-CN"/>
              </w:rPr>
            </w:pPr>
            <w:r>
              <w:rPr>
                <w:rFonts w:hint="eastAsia" w:ascii="方正仿宋_GB2312" w:hAnsi="方正仿宋_GB2312" w:eastAsia="方正仿宋_GB2312" w:cs="方正仿宋_GB2312"/>
                <w:b w:val="0"/>
                <w:bCs w:val="0"/>
                <w:color w:val="auto"/>
                <w:sz w:val="32"/>
                <w:szCs w:val="32"/>
                <w:highlight w:val="none"/>
                <w:lang w:val="en-US" w:eastAsia="zh-CN"/>
              </w:rPr>
              <w:t xml:space="preserve">沭阳县公共资源交易中心</w:t>
            </w:r>
            <w:r/>
          </w:p>
        </w:tc>
      </w:tr>
    </w:tbl>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964"/>
        <w:jc w:val="left"/>
        <w:spacing w:before="120" w:after="120" w:line="360" w:lineRule="auto"/>
        <w:rPr>
          <w:rFonts w:ascii="Arial" w:hAnsi="Arial"/>
          <w:b/>
          <w:color w:val="auto"/>
          <w:sz w:val="32"/>
          <w:szCs w:val="24"/>
          <w:highlight w:val="none"/>
        </w:rPr>
      </w:pPr>
      <w:r>
        <w:rPr>
          <w:rFonts w:hint="eastAsia" w:ascii="Times New Roman" w:hAnsi="Times New Roman"/>
          <w:b/>
          <w:bCs/>
          <w:color w:val="auto"/>
          <w:sz w:val="32"/>
          <w:szCs w:val="24"/>
          <w:highlight w:val="none"/>
        </w:rPr>
        <w:t xml:space="preserve"> </w:t>
      </w:r>
      <w:r/>
    </w:p>
    <w:p>
      <w:pPr>
        <w:jc w:val="center"/>
        <w:spacing w:before="120" w:after="120" w:line="360" w:lineRule="auto"/>
        <w:rPr>
          <w:rFonts w:ascii="Arial" w:hAnsi="Arial"/>
          <w:b/>
          <w:color w:val="auto"/>
          <w:sz w:val="32"/>
          <w:szCs w:val="24"/>
          <w:highlight w:val="none"/>
        </w:rPr>
      </w:pPr>
      <w:r>
        <w:rPr>
          <w:rFonts w:hint="eastAsia" w:ascii="Arial" w:hAnsi="Arial"/>
          <w:b/>
          <w:color w:val="auto"/>
          <w:sz w:val="32"/>
          <w:szCs w:val="24"/>
          <w:highlight w:val="none"/>
          <w:lang w:eastAsia="zh-CN" w:bidi="ar"/>
        </w:rPr>
        <w:t xml:space="preserve">2025年1</w:t>
      </w:r>
      <w:r>
        <w:rPr>
          <w:rFonts w:hint="eastAsia" w:ascii="Arial" w:hAnsi="Arial"/>
          <w:b/>
          <w:color w:val="auto"/>
          <w:sz w:val="32"/>
          <w:szCs w:val="24"/>
          <w:highlight w:val="none"/>
          <w:lang w:val="en-US" w:eastAsia="zh-CN" w:bidi="ar"/>
        </w:rPr>
        <w:t xml:space="preserve">2</w:t>
      </w:r>
      <w:r>
        <w:rPr>
          <w:rFonts w:hint="eastAsia" w:ascii="Arial" w:hAnsi="Arial"/>
          <w:b/>
          <w:color w:val="auto"/>
          <w:sz w:val="32"/>
          <w:szCs w:val="24"/>
          <w:highlight w:val="none"/>
          <w:lang w:eastAsia="zh-CN" w:bidi="ar"/>
        </w:rPr>
        <w:t xml:space="preserve">月</w:t>
      </w:r>
      <w:r>
        <w:rPr>
          <w:rFonts w:hint="eastAsia" w:ascii="Arial" w:hAnsi="Arial"/>
          <w:b/>
          <w:color w:val="auto"/>
          <w:sz w:val="32"/>
          <w:szCs w:val="24"/>
          <w:highlight w:val="none"/>
          <w:lang w:val="en-US" w:eastAsia="zh-CN" w:bidi="ar"/>
        </w:rPr>
        <w:t xml:space="preserve">3</w:t>
      </w:r>
      <w:r>
        <w:rPr>
          <w:rFonts w:hint="eastAsia" w:ascii="Arial" w:hAnsi="Arial" w:cs="宋体"/>
          <w:b/>
          <w:color w:val="auto"/>
          <w:sz w:val="32"/>
          <w:szCs w:val="24"/>
          <w:highlight w:val="none"/>
          <w:lang w:bidi="ar"/>
        </w:rPr>
        <w:t xml:space="preserve">日</w:t>
      </w:r>
      <w:r/>
    </w:p>
    <w:p>
      <w:pPr>
        <w:jc w:val="center"/>
        <w:spacing w:before="120" w:after="120" w:line="360" w:lineRule="auto"/>
        <w:rPr>
          <w:rFonts w:ascii="Arial" w:hAnsi="Arial"/>
          <w:b/>
          <w:color w:val="auto"/>
          <w:sz w:val="32"/>
          <w:szCs w:val="24"/>
          <w:highlight w:val="none"/>
        </w:rPr>
      </w:pPr>
      <w:r>
        <w:rPr>
          <w:rFonts w:ascii="Arial" w:hAnsi="Arial"/>
          <w:b/>
          <w:color w:val="auto"/>
          <w:sz w:val="32"/>
          <w:szCs w:val="24"/>
          <w:highlight w:val="none"/>
        </w:rPr>
      </w:r>
      <w:r/>
    </w:p>
    <w:p>
      <w:pPr>
        <w:pStyle w:val="715"/>
        <w:jc w:val="center"/>
        <w:spacing w:before="200"/>
        <w:rPr>
          <w:rFonts w:hint="eastAsia" w:eastAsia="黑体"/>
          <w:color w:val="auto"/>
          <w:sz w:val="44"/>
          <w:highlight w:val="none"/>
        </w:rPr>
      </w:pPr>
      <w:r/>
      <w:bookmarkStart w:id="2" w:name="_Toc81575152"/>
      <w:r/>
      <w:bookmarkStart w:id="3" w:name="_Toc25722"/>
      <w:r/>
      <w:bookmarkStart w:id="4" w:name="_Toc30943"/>
      <w:r/>
      <w:bookmarkStart w:id="5" w:name="_Toc81575189"/>
      <w:r/>
      <w:bookmarkStart w:id="6" w:name="_Toc10813"/>
      <w:r/>
      <w:r/>
    </w:p>
    <w:p>
      <w:pPr>
        <w:pStyle w:val="715"/>
        <w:jc w:val="center"/>
        <w:spacing w:before="200"/>
        <w:rPr>
          <w:rFonts w:hint="eastAsia" w:eastAsia="黑体"/>
          <w:color w:val="auto"/>
          <w:sz w:val="44"/>
          <w:highlight w:val="none"/>
        </w:rPr>
      </w:pPr>
      <w:r>
        <w:rPr>
          <w:rFonts w:hint="eastAsia" w:eastAsia="黑体"/>
          <w:color w:val="auto"/>
          <w:sz w:val="44"/>
          <w:highlight w:val="none"/>
        </w:rPr>
        <w:t xml:space="preserve">第一章  投标邀请</w:t>
      </w:r>
      <w:bookmarkEnd w:id="2"/>
      <w:r/>
      <w:bookmarkEnd w:id="3"/>
      <w:r/>
      <w:bookmarkEnd w:id="4"/>
      <w:r/>
      <w:bookmarkEnd w:id="5"/>
      <w:r/>
      <w:bookmarkEnd w:id="6"/>
      <w:r/>
      <w:r/>
    </w:p>
    <w:p>
      <w:pPr>
        <w:ind w:firstLine="480"/>
        <w:spacing w:line="480" w:lineRule="exact"/>
        <w:rPr>
          <w:rFonts w:hint="eastAsia" w:ascii="方正仿宋_GB2312" w:hAnsi="方正仿宋_GB2312" w:eastAsia="方正仿宋_GB2312" w:cs="方正仿宋_GB2312"/>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方正仿宋_GB2312" w:hAnsi="方正仿宋_GB2312" w:eastAsia="方正仿宋_GB2312" w:cs="方正仿宋_GB2312"/>
          <w:color w:val="auto"/>
          <w:sz w:val="24"/>
          <w:szCs w:val="24"/>
          <w:highlight w:val="none"/>
        </w:rPr>
        <w:t xml:space="preserve">项目概况</w:t>
      </w:r>
      <w:r/>
    </w:p>
    <w:p>
      <w:pPr>
        <w:spacing w:line="480" w:lineRule="exact"/>
        <w:rPr>
          <w:rFonts w:hint="eastAsia" w:ascii="方正仿宋_GB2312" w:hAnsi="方正仿宋_GB2312" w:eastAsia="方正仿宋_GB2312" w:cs="方正仿宋_GB2312"/>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方正仿宋_GB2312" w:hAnsi="方正仿宋_GB2312" w:eastAsia="方正仿宋_GB2312" w:cs="方正仿宋_GB2312"/>
          <w:i w:val="0"/>
          <w:iCs w:val="0"/>
          <w:caps w:val="0"/>
          <w:color w:val="000000"/>
          <w:spacing w:val="0"/>
          <w:sz w:val="24"/>
          <w:szCs w:val="24"/>
          <w:u w:val="single"/>
        </w:rPr>
        <w:t xml:space="preserve">沭阳县城区部分老旧小区电梯更新项目</w:t>
      </w:r>
      <w:r>
        <w:rPr>
          <w:rFonts w:hint="eastAsia" w:ascii="方正仿宋_GB2312" w:hAnsi="方正仿宋_GB2312" w:eastAsia="方正仿宋_GB2312" w:cs="方正仿宋_GB2312"/>
          <w:color w:val="auto"/>
          <w:sz w:val="24"/>
          <w:szCs w:val="24"/>
          <w:highlight w:val="none"/>
        </w:rPr>
        <w:t xml:space="preserve">的潜在投标人可在“江苏政府采购网”、</w:t>
      </w:r>
      <w:r>
        <w:rPr>
          <w:rFonts w:hint="eastAsia" w:ascii="方正仿宋_GB2312" w:hAnsi="方正仿宋_GB2312" w:eastAsia="方正仿宋_GB2312" w:cs="方正仿宋_GB2312"/>
          <w:color w:val="auto"/>
          <w:sz w:val="24"/>
          <w:szCs w:val="24"/>
          <w:highlight w:val="none"/>
          <w:u w:val="none"/>
        </w:rPr>
        <w:t xml:space="preserve">“宿迁市政府采购网”自行免费</w:t>
      </w:r>
      <w:r>
        <w:rPr>
          <w:rFonts w:hint="eastAsia" w:ascii="方正仿宋_GB2312" w:hAnsi="方正仿宋_GB2312" w:eastAsia="方正仿宋_GB2312" w:cs="方正仿宋_GB2312"/>
          <w:color w:val="auto"/>
          <w:sz w:val="24"/>
          <w:szCs w:val="24"/>
          <w:highlight w:val="none"/>
        </w:rPr>
        <w:t xml:space="preserve">获取招标文件，并于</w:t>
      </w:r>
      <w:r>
        <w:rPr>
          <w:rFonts w:hint="eastAsia" w:ascii="方正仿宋_GB2312" w:hAnsi="方正仿宋_GB2312" w:eastAsia="方正仿宋_GB2312" w:cs="方正仿宋_GB2312"/>
          <w:color w:val="auto"/>
          <w:sz w:val="24"/>
          <w:szCs w:val="24"/>
          <w:highlight w:val="none"/>
          <w:u w:val="single"/>
          <w:lang w:eastAsia="zh-CN"/>
        </w:rPr>
        <w:t xml:space="preserve">2025年1</w:t>
      </w:r>
      <w:r>
        <w:rPr>
          <w:rFonts w:hint="eastAsia" w:ascii="方正仿宋_GB2312" w:hAnsi="方正仿宋_GB2312" w:eastAsia="方正仿宋_GB2312" w:cs="方正仿宋_GB2312"/>
          <w:color w:val="auto"/>
          <w:sz w:val="24"/>
          <w:szCs w:val="24"/>
          <w:highlight w:val="none"/>
          <w:u w:val="single"/>
          <w:lang w:val="en-US" w:eastAsia="zh-CN"/>
        </w:rPr>
        <w:t xml:space="preserve">2</w:t>
      </w:r>
      <w:r>
        <w:rPr>
          <w:rFonts w:hint="eastAsia" w:ascii="方正仿宋_GB2312" w:hAnsi="方正仿宋_GB2312" w:eastAsia="方正仿宋_GB2312" w:cs="方正仿宋_GB2312"/>
          <w:color w:val="auto"/>
          <w:sz w:val="24"/>
          <w:szCs w:val="24"/>
          <w:highlight w:val="none"/>
          <w:u w:val="single"/>
          <w:lang w:eastAsia="zh-CN"/>
        </w:rPr>
        <w:t xml:space="preserve">月</w:t>
      </w:r>
      <w:r>
        <w:rPr>
          <w:rFonts w:hint="eastAsia" w:ascii="方正仿宋_GB2312" w:hAnsi="方正仿宋_GB2312" w:eastAsia="方正仿宋_GB2312" w:cs="方正仿宋_GB2312"/>
          <w:color w:val="auto"/>
          <w:sz w:val="24"/>
          <w:szCs w:val="24"/>
          <w:highlight w:val="none"/>
          <w:u w:val="single"/>
          <w:lang w:val="en-US" w:eastAsia="zh-CN"/>
        </w:rPr>
        <w:t xml:space="preserve">25</w:t>
      </w:r>
      <w:r>
        <w:rPr>
          <w:rFonts w:hint="eastAsia" w:ascii="方正仿宋_GB2312" w:hAnsi="方正仿宋_GB2312" w:eastAsia="方正仿宋_GB2312" w:cs="方正仿宋_GB2312"/>
          <w:bCs/>
          <w:color w:val="auto"/>
          <w:sz w:val="24"/>
          <w:szCs w:val="24"/>
          <w:highlight w:val="none"/>
          <w:u w:val="single"/>
        </w:rPr>
        <w:t xml:space="preserve">日09点</w:t>
      </w:r>
      <w:r>
        <w:rPr>
          <w:rFonts w:hint="eastAsia" w:ascii="方正仿宋_GB2312" w:hAnsi="方正仿宋_GB2312" w:eastAsia="方正仿宋_GB2312" w:cs="方正仿宋_GB2312"/>
          <w:bCs/>
          <w:color w:val="auto"/>
          <w:sz w:val="24"/>
          <w:szCs w:val="24"/>
          <w:highlight w:val="none"/>
          <w:u w:val="single"/>
          <w:lang w:val="en-US" w:eastAsia="zh-CN"/>
        </w:rPr>
        <w:t xml:space="preserve">30</w:t>
      </w:r>
      <w:r>
        <w:rPr>
          <w:rFonts w:hint="eastAsia" w:ascii="方正仿宋_GB2312" w:hAnsi="方正仿宋_GB2312" w:eastAsia="方正仿宋_GB2312" w:cs="方正仿宋_GB2312"/>
          <w:bCs/>
          <w:color w:val="auto"/>
          <w:sz w:val="24"/>
          <w:szCs w:val="24"/>
          <w:highlight w:val="none"/>
          <w:u w:val="single"/>
        </w:rPr>
        <w:t xml:space="preserve">分（</w:t>
      </w:r>
      <w:r>
        <w:rPr>
          <w:rFonts w:hint="eastAsia" w:ascii="方正仿宋_GB2312" w:hAnsi="方正仿宋_GB2312" w:eastAsia="方正仿宋_GB2312" w:cs="方正仿宋_GB2312"/>
          <w:bCs/>
          <w:color w:val="auto"/>
          <w:sz w:val="24"/>
          <w:szCs w:val="24"/>
          <w:highlight w:val="none"/>
        </w:rPr>
        <w:t xml:space="preserve">北京时间）前递交投标文件</w:t>
      </w:r>
      <w:r>
        <w:rPr>
          <w:rFonts w:hint="eastAsia" w:ascii="方正仿宋_GB2312" w:hAnsi="方正仿宋_GB2312" w:eastAsia="方正仿宋_GB2312" w:cs="方正仿宋_GB2312"/>
          <w:color w:val="auto"/>
          <w:sz w:val="24"/>
          <w:szCs w:val="24"/>
          <w:highlight w:val="none"/>
        </w:rPr>
        <w:t xml:space="preserve">。</w:t>
      </w:r>
      <w:r/>
    </w:p>
    <w:p>
      <w:pPr>
        <w:pStyle w:val="716"/>
        <w:ind w:firstLine="643"/>
        <w:spacing w:before="0" w:after="0" w:line="480" w:lineRule="exact"/>
        <w:rPr>
          <w:rFonts w:hint="eastAsia" w:eastAsia="宋体" w:cs="Arial"/>
          <w:bCs/>
          <w:color w:val="auto"/>
          <w:szCs w:val="22"/>
          <w:highlight w:val="none"/>
        </w:rPr>
      </w:pPr>
      <w:r/>
      <w:bookmarkStart w:id="7" w:name="_Toc35393621"/>
      <w:r/>
      <w:bookmarkStart w:id="8" w:name="_Toc35393790"/>
      <w:r/>
      <w:bookmarkStart w:id="9" w:name="_Toc2584"/>
      <w:r/>
      <w:bookmarkStart w:id="10" w:name="_Toc28359079"/>
      <w:r/>
      <w:bookmarkStart w:id="11" w:name="_Toc28359002"/>
      <w:r/>
      <w:bookmarkStart w:id="12" w:name="_Toc38985263"/>
      <w:r/>
      <w:bookmarkStart w:id="13" w:name="_Hlk24379207"/>
      <w:r>
        <w:rPr>
          <w:rFonts w:hint="eastAsia" w:eastAsia="宋体" w:cs="Arial"/>
          <w:bCs/>
          <w:color w:val="auto"/>
          <w:szCs w:val="22"/>
          <w:highlight w:val="none"/>
        </w:rPr>
        <w:t xml:space="preserve">一、项目基本情况</w:t>
      </w:r>
      <w:bookmarkEnd w:id="7"/>
      <w:r/>
      <w:bookmarkEnd w:id="8"/>
      <w:r/>
      <w:bookmarkEnd w:id="9"/>
      <w:r/>
      <w:bookmarkEnd w:id="10"/>
      <w:r/>
      <w:bookmarkEnd w:id="11"/>
      <w:r/>
      <w:bookmarkEnd w:id="12"/>
      <w:r/>
      <w:r/>
    </w:p>
    <w:p>
      <w:pPr>
        <w:ind w:firstLine="480"/>
        <w:spacing w:line="48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1.项目编号：</w:t>
      </w:r>
      <w:r>
        <w:rPr>
          <w:rFonts w:hint="eastAsia" w:ascii="方正仿宋_GB2312" w:hAnsi="方正仿宋_GB2312" w:eastAsia="方正仿宋_GB2312" w:cs="方正仿宋_GB2312"/>
          <w:i w:val="0"/>
          <w:iCs w:val="0"/>
          <w:caps w:val="0"/>
          <w:color w:val="000000"/>
          <w:spacing w:val="0"/>
          <w:sz w:val="24"/>
          <w:szCs w:val="24"/>
        </w:rPr>
        <w:t xml:space="preserve">JSZC-321322-JZCG-G2025-0007</w:t>
      </w:r>
      <w:r/>
    </w:p>
    <w:p>
      <w:pPr>
        <w:ind w:firstLine="480"/>
        <w:spacing w:line="480" w:lineRule="exact"/>
        <w:rPr>
          <w:rFonts w:hint="eastAsia" w:ascii="方正仿宋_GB2312" w:hAnsi="方正仿宋_GB2312" w:eastAsia="方正仿宋_GB2312" w:cs="方正仿宋_GB2312"/>
          <w:color w:val="auto"/>
          <w:sz w:val="24"/>
          <w:szCs w:val="24"/>
          <w:highlight w:val="none"/>
        </w:rPr>
      </w:pPr>
      <w:r>
        <w:rPr>
          <w:rFonts w:hint="eastAsia" w:ascii="Times New Roman" w:hAnsi="Times New Roman" w:cs="仿宋"/>
          <w:color w:val="auto"/>
          <w:sz w:val="24"/>
          <w:szCs w:val="24"/>
          <w:highlight w:val="none"/>
        </w:rPr>
        <w:t xml:space="preserve">2.项目名称：</w:t>
      </w:r>
      <w:bookmarkEnd w:id="13"/>
      <w:r>
        <w:rPr>
          <w:rFonts w:hint="eastAsia" w:ascii="方正仿宋_GB2312" w:hAnsi="方正仿宋_GB2312" w:eastAsia="方正仿宋_GB2312" w:cs="方正仿宋_GB2312"/>
          <w:i w:val="0"/>
          <w:iCs w:val="0"/>
          <w:caps w:val="0"/>
          <w:color w:val="000000"/>
          <w:spacing w:val="0"/>
          <w:sz w:val="24"/>
          <w:szCs w:val="24"/>
        </w:rPr>
        <w:t xml:space="preserve">沭阳县城区部分老旧小区电梯更新项目</w:t>
      </w:r>
      <w:r/>
    </w:p>
    <w:p>
      <w:pPr>
        <w:ind w:firstLine="480"/>
        <w:spacing w:line="480" w:lineRule="exact"/>
        <w:rPr>
          <w:rFonts w:ascii="仿宋" w:hAnsi="仿宋" w:eastAsia="宋体"/>
          <w:color w:val="auto"/>
          <w:sz w:val="24"/>
          <w:szCs w:val="24"/>
          <w:highlight w:val="none"/>
          <w:lang w:val="en-US" w:eastAsia="zh-CN"/>
        </w:rPr>
      </w:pPr>
      <w:r>
        <w:rPr>
          <w:rFonts w:hint="eastAsia" w:ascii="Times New Roman" w:hAnsi="Times New Roman" w:cs="仿宋"/>
          <w:color w:val="auto"/>
          <w:sz w:val="24"/>
          <w:szCs w:val="24"/>
          <w:highlight w:val="none"/>
        </w:rPr>
        <w:t xml:space="preserve">3.预算金额：</w:t>
      </w:r>
      <w:r>
        <w:rPr>
          <w:rFonts w:hint="eastAsia" w:ascii="Times New Roman" w:hAnsi="Times New Roman" w:cs="仿宋"/>
          <w:color w:val="auto"/>
          <w:sz w:val="24"/>
          <w:szCs w:val="24"/>
          <w:highlight w:val="none"/>
          <w:lang w:val="en-US" w:eastAsia="zh-CN"/>
        </w:rPr>
        <w:t xml:space="preserve">1700万元</w:t>
      </w:r>
      <w:r>
        <w:rPr>
          <w:rFonts w:hint="eastAsia" w:ascii="宋体" w:hAnsi="宋体" w:eastAsia="宋体" w:cs="宋体"/>
          <w:color w:val="auto"/>
          <w:sz w:val="24"/>
          <w:szCs w:val="24"/>
          <w:highlight w:val="none"/>
          <w:shd w:val="clear" w:color="auto" w:fill="ffffff"/>
        </w:rPr>
        <w:t xml:space="preserve">（分包一为</w:t>
      </w:r>
      <w:r>
        <w:rPr>
          <w:rFonts w:hint="eastAsia" w:ascii="宋体" w:hAnsi="宋体" w:eastAsia="宋体" w:cs="宋体"/>
          <w:color w:val="auto"/>
          <w:sz w:val="24"/>
          <w:szCs w:val="24"/>
          <w:highlight w:val="none"/>
          <w:shd w:val="clear" w:color="auto" w:fill="ffffff"/>
          <w:lang w:val="en-US" w:eastAsia="zh-CN"/>
        </w:rPr>
        <w:t xml:space="preserve">850</w:t>
      </w:r>
      <w:r>
        <w:rPr>
          <w:rFonts w:hint="eastAsia" w:ascii="宋体" w:hAnsi="宋体" w:eastAsia="宋体" w:cs="宋体"/>
          <w:color w:val="auto"/>
          <w:sz w:val="24"/>
          <w:szCs w:val="24"/>
          <w:highlight w:val="none"/>
          <w:shd w:val="clear" w:color="auto" w:fill="ffffff"/>
        </w:rPr>
        <w:t xml:space="preserve">万元，分包二为</w:t>
      </w:r>
      <w:r>
        <w:rPr>
          <w:rFonts w:hint="eastAsia" w:ascii="宋体" w:hAnsi="宋体" w:eastAsia="宋体" w:cs="宋体"/>
          <w:color w:val="auto"/>
          <w:sz w:val="24"/>
          <w:szCs w:val="24"/>
          <w:highlight w:val="none"/>
          <w:shd w:val="clear" w:color="auto" w:fill="ffffff"/>
          <w:lang w:val="en-US" w:eastAsia="zh-CN"/>
        </w:rPr>
        <w:t xml:space="preserve">850</w:t>
      </w:r>
      <w:r>
        <w:rPr>
          <w:rFonts w:hint="eastAsia" w:ascii="宋体" w:hAnsi="宋体" w:eastAsia="宋体" w:cs="宋体"/>
          <w:color w:val="auto"/>
          <w:sz w:val="24"/>
          <w:szCs w:val="24"/>
          <w:highlight w:val="none"/>
          <w:shd w:val="clear" w:color="auto" w:fill="ffffff"/>
        </w:rPr>
        <w:t xml:space="preserve">万元）</w:t>
      </w:r>
      <w:r/>
    </w:p>
    <w:p>
      <w:pPr>
        <w:ind w:firstLine="480"/>
        <w:spacing w:line="480" w:lineRule="exact"/>
        <w:rPr>
          <w:rFonts w:ascii="仿宋" w:hAnsi="仿宋" w:eastAsia="宋体"/>
          <w:color w:val="auto"/>
          <w:sz w:val="24"/>
          <w:szCs w:val="24"/>
          <w:highlight w:val="none"/>
          <w:lang w:val="en-US" w:eastAsia="zh-CN"/>
        </w:rPr>
      </w:pPr>
      <w:r>
        <w:rPr>
          <w:rFonts w:hint="eastAsia" w:ascii="Times New Roman" w:hAnsi="Times New Roman" w:cs="仿宋"/>
          <w:color w:val="auto"/>
          <w:sz w:val="24"/>
          <w:szCs w:val="24"/>
          <w:highlight w:val="none"/>
        </w:rPr>
        <w:t xml:space="preserve">4.</w:t>
      </w:r>
      <w:r>
        <w:rPr>
          <w:rFonts w:ascii="宋体" w:hAnsi="宋体" w:eastAsia="宋体" w:cs="宋体"/>
          <w:color w:val="auto"/>
          <w:sz w:val="24"/>
          <w:szCs w:val="24"/>
          <w:highlight w:val="none"/>
        </w:rPr>
        <w:t xml:space="preserve">最高</w:t>
      </w:r>
      <w:r>
        <w:rPr>
          <w:rFonts w:hint="eastAsia" w:ascii="Times New Roman" w:hAnsi="Times New Roman" w:cs="仿宋"/>
          <w:color w:val="auto"/>
          <w:sz w:val="24"/>
          <w:szCs w:val="24"/>
          <w:highlight w:val="none"/>
          <w:lang w:eastAsia="zh-CN"/>
        </w:rPr>
        <w:t xml:space="preserve">限价（如有）：</w:t>
      </w:r>
      <w:r>
        <w:rPr>
          <w:rFonts w:hint="eastAsia" w:ascii="宋体" w:hAnsi="宋体" w:eastAsia="宋体" w:cs="宋体"/>
          <w:color w:val="auto"/>
          <w:sz w:val="24"/>
          <w:szCs w:val="24"/>
          <w:highlight w:val="none"/>
          <w:shd w:val="clear" w:color="auto" w:fill="ffffff"/>
        </w:rPr>
        <w:t xml:space="preserve">分包一为</w:t>
      </w:r>
      <w:r>
        <w:rPr>
          <w:rFonts w:hint="eastAsia" w:ascii="宋体" w:hAnsi="宋体" w:eastAsia="宋体" w:cs="宋体"/>
          <w:color w:val="auto"/>
          <w:sz w:val="24"/>
          <w:szCs w:val="24"/>
          <w:highlight w:val="none"/>
          <w:shd w:val="clear" w:color="auto" w:fill="ffffff"/>
          <w:lang w:val="en-US" w:eastAsia="zh-CN"/>
        </w:rPr>
        <w:t xml:space="preserve">850</w:t>
      </w:r>
      <w:r>
        <w:rPr>
          <w:rFonts w:hint="eastAsia" w:ascii="宋体" w:hAnsi="宋体" w:eastAsia="宋体" w:cs="宋体"/>
          <w:color w:val="auto"/>
          <w:sz w:val="24"/>
          <w:szCs w:val="24"/>
          <w:highlight w:val="none"/>
          <w:shd w:val="clear" w:color="auto" w:fill="ffffff"/>
        </w:rPr>
        <w:t xml:space="preserve">万元，分包二为</w:t>
      </w:r>
      <w:r>
        <w:rPr>
          <w:rFonts w:hint="eastAsia" w:ascii="宋体" w:hAnsi="宋体" w:eastAsia="宋体" w:cs="宋体"/>
          <w:color w:val="auto"/>
          <w:sz w:val="24"/>
          <w:szCs w:val="24"/>
          <w:highlight w:val="none"/>
          <w:shd w:val="clear" w:color="auto" w:fill="ffffff"/>
          <w:lang w:val="en-US" w:eastAsia="zh-CN"/>
        </w:rPr>
        <w:t xml:space="preserve">850</w:t>
      </w:r>
      <w:r>
        <w:rPr>
          <w:rFonts w:hint="eastAsia" w:ascii="宋体" w:hAnsi="宋体" w:eastAsia="宋体" w:cs="宋体"/>
          <w:color w:val="auto"/>
          <w:sz w:val="24"/>
          <w:szCs w:val="24"/>
          <w:highlight w:val="none"/>
          <w:shd w:val="clear" w:color="auto" w:fill="ffffff"/>
        </w:rPr>
        <w:t xml:space="preserve">万元</w:t>
      </w:r>
      <w:r/>
    </w:p>
    <w:p>
      <w:pPr>
        <w:ind w:left="102" w:right="137" w:firstLine="479"/>
        <w:spacing w:before="194" w:line="319" w:lineRule="auto"/>
        <w:rPr>
          <w:rFonts w:hint="eastAsia" w:ascii="Times New Roman" w:hAnsi="Times New Roman" w:cs="仿宋"/>
          <w:color w:val="auto"/>
          <w:sz w:val="24"/>
          <w:szCs w:val="24"/>
          <w:highlight w:val="none"/>
          <w:lang w:val="en-US" w:eastAsia="zh-CN"/>
        </w:rPr>
      </w:pPr>
      <w:r>
        <w:rPr>
          <w:rFonts w:hint="eastAsia" w:ascii="Times New Roman" w:hAnsi="Times New Roman" w:cs="仿宋"/>
          <w:color w:val="auto"/>
          <w:sz w:val="24"/>
          <w:szCs w:val="24"/>
          <w:highlight w:val="none"/>
        </w:rPr>
        <w:t xml:space="preserve">5.</w:t>
      </w:r>
      <w:r>
        <w:rPr>
          <w:rFonts w:ascii="宋体" w:hAnsi="宋体" w:eastAsia="宋体" w:cs="宋体"/>
          <w:color w:val="auto"/>
          <w:sz w:val="24"/>
          <w:szCs w:val="24"/>
          <w:highlight w:val="none"/>
        </w:rPr>
        <w:t xml:space="preserve">采购需求：</w:t>
      </w:r>
      <w:r>
        <w:rPr>
          <w:rFonts w:hint="eastAsia" w:ascii="宋体" w:hAnsi="宋体" w:eastAsia="宋体" w:cs="宋体"/>
          <w:sz w:val="24"/>
          <w:szCs w:val="22"/>
          <w:highlight w:val="none"/>
        </w:rPr>
        <w:t xml:space="preserve">本项目更新范围</w:t>
      </w:r>
      <w:r>
        <w:rPr>
          <w:rFonts w:hint="eastAsia" w:ascii="Times New Roman" w:hAnsi="Times New Roman" w:cs="仿宋"/>
          <w:color w:val="auto"/>
          <w:sz w:val="24"/>
          <w:szCs w:val="24"/>
          <w:highlight w:val="none"/>
        </w:rPr>
        <w:t xml:space="preserve">为</w:t>
      </w:r>
      <w:r>
        <w:rPr>
          <w:rFonts w:hint="eastAsia" w:ascii="Times New Roman" w:hAnsi="Times New Roman" w:cs="仿宋"/>
          <w:color w:val="auto"/>
          <w:sz w:val="24"/>
          <w:szCs w:val="24"/>
          <w:highlight w:val="none"/>
          <w:lang w:val="en-US" w:eastAsia="zh-CN"/>
        </w:rPr>
        <w:t xml:space="preserve">沭阳</w:t>
      </w:r>
      <w:r>
        <w:rPr>
          <w:rFonts w:hint="eastAsia" w:ascii="Times New Roman" w:hAnsi="Times New Roman" w:cs="仿宋"/>
          <w:color w:val="auto"/>
          <w:sz w:val="24"/>
          <w:szCs w:val="24"/>
          <w:highlight w:val="none"/>
          <w:lang w:eastAsia="zh-CN"/>
        </w:rPr>
        <w:t xml:space="preserve">县</w:t>
      </w:r>
      <w:r>
        <w:rPr>
          <w:rFonts w:hint="eastAsia" w:ascii="Times New Roman" w:hAnsi="Times New Roman" w:cs="仿宋"/>
          <w:color w:val="auto"/>
          <w:sz w:val="24"/>
          <w:szCs w:val="24"/>
          <w:highlight w:val="none"/>
        </w:rPr>
        <w:t xml:space="preserve">城区老旧小区</w:t>
      </w:r>
      <w:r>
        <w:rPr>
          <w:rFonts w:hint="eastAsia" w:ascii="宋体" w:hAnsi="宋体" w:eastAsia="宋体" w:cs="宋体"/>
          <w:sz w:val="24"/>
          <w:szCs w:val="22"/>
          <w:highlight w:val="none"/>
        </w:rPr>
        <w:t xml:space="preserve">共需更换电梯112部（分包一分包二各56部，具体划分范围详见附件）</w:t>
      </w:r>
      <w:r>
        <w:rPr>
          <w:rFonts w:hint="eastAsia" w:ascii="宋体" w:hAnsi="宋体" w:eastAsia="宋体" w:cs="宋体"/>
          <w:sz w:val="24"/>
          <w:szCs w:val="22"/>
          <w:highlight w:val="none"/>
          <w:lang w:eastAsia="zh-CN"/>
        </w:rPr>
        <w:t xml:space="preserve">，</w:t>
      </w:r>
      <w:r>
        <w:rPr>
          <w:rFonts w:hint="eastAsia" w:ascii="Times New Roman" w:hAnsi="Times New Roman" w:cs="仿宋"/>
          <w:color w:val="auto"/>
          <w:sz w:val="24"/>
          <w:szCs w:val="24"/>
          <w:highlight w:val="none"/>
        </w:rPr>
        <w:t xml:space="preserve">包含原有电梯拆除、新电梯采购</w:t>
      </w:r>
      <w:r>
        <w:rPr>
          <w:rFonts w:hint="eastAsia" w:ascii="Times New Roman" w:hAnsi="Times New Roman" w:cs="仿宋"/>
          <w:color w:val="auto"/>
          <w:sz w:val="24"/>
          <w:szCs w:val="24"/>
          <w:highlight w:val="none"/>
          <w:lang w:eastAsia="zh-CN"/>
        </w:rPr>
        <w:t xml:space="preserve">、</w:t>
      </w:r>
      <w:r>
        <w:rPr>
          <w:rFonts w:hint="eastAsia" w:ascii="Times New Roman" w:hAnsi="Times New Roman" w:cs="仿宋"/>
          <w:color w:val="auto"/>
          <w:sz w:val="24"/>
          <w:szCs w:val="24"/>
          <w:highlight w:val="none"/>
        </w:rPr>
        <w:t xml:space="preserve">安装</w:t>
      </w:r>
      <w:r>
        <w:rPr>
          <w:rFonts w:hint="eastAsia" w:ascii="Times New Roman" w:hAnsi="Times New Roman" w:cs="仿宋"/>
          <w:color w:val="auto"/>
          <w:sz w:val="24"/>
          <w:szCs w:val="24"/>
          <w:highlight w:val="none"/>
          <w:lang w:val="en-US" w:eastAsia="zh-CN"/>
        </w:rPr>
        <w:t xml:space="preserve">及维保</w:t>
      </w:r>
      <w:r>
        <w:rPr>
          <w:rFonts w:hint="eastAsia" w:ascii="Times New Roman" w:hAnsi="Times New Roman" w:cs="仿宋"/>
          <w:color w:val="auto"/>
          <w:sz w:val="24"/>
          <w:szCs w:val="24"/>
          <w:highlight w:val="none"/>
        </w:rPr>
        <w:t xml:space="preserve">等</w:t>
      </w:r>
      <w:r>
        <w:rPr>
          <w:rFonts w:hint="eastAsia" w:ascii="Times New Roman" w:hAnsi="Times New Roman" w:cs="仿宋"/>
          <w:color w:val="auto"/>
          <w:sz w:val="24"/>
          <w:szCs w:val="24"/>
          <w:highlight w:val="none"/>
          <w:lang w:eastAsia="zh-CN"/>
        </w:rPr>
        <w:t xml:space="preserve">，</w:t>
      </w:r>
      <w:r>
        <w:rPr>
          <w:rFonts w:hint="eastAsia" w:ascii="Times New Roman" w:hAnsi="Times New Roman" w:cs="仿宋"/>
          <w:color w:val="auto"/>
          <w:sz w:val="24"/>
          <w:szCs w:val="24"/>
          <w:highlight w:val="none"/>
          <w:lang w:val="en-US" w:eastAsia="zh-CN"/>
        </w:rPr>
        <w:t xml:space="preserve">详见采购需求。</w:t>
      </w:r>
      <w:r/>
    </w:p>
    <w:p>
      <w:pPr>
        <w:ind w:left="102" w:right="137" w:firstLine="479"/>
        <w:spacing w:before="194" w:line="319" w:lineRule="auto"/>
        <w:rPr>
          <w:rFonts w:ascii="Times New Roman" w:hAnsi="Times New Roman" w:eastAsia="宋体" w:cs="仿宋"/>
          <w:color w:val="auto"/>
          <w:sz w:val="24"/>
          <w:szCs w:val="24"/>
          <w:highlight w:val="none"/>
          <w:lang w:val="en-US" w:eastAsia="zh-CN"/>
        </w:rPr>
      </w:pPr>
      <w:r>
        <w:rPr>
          <w:rFonts w:hint="eastAsia" w:ascii="宋体" w:hAnsi="宋体" w:eastAsia="宋体" w:cs="宋体"/>
          <w:color w:val="auto"/>
          <w:spacing w:val="-2"/>
          <w:sz w:val="24"/>
          <w:szCs w:val="24"/>
        </w:rPr>
        <w:t xml:space="preserve">注：各投标人可就分包一、分包二投标，但每个投标人，只能在 1个分包上中标（若投标人参加上述2个分包的投标，按照开标的先后顺序，若在前一分包被推荐为第一中标候选人，在后一分包参与评标，但不得被推荐为中标候选人；开标顺序：分包一、分包二；评标和定标顺序同开标顺序）。评审结束后，若其中一个分包受到质疑投诉等原因，导致本分包评审结果改变，但不影响其他分包的评审结果。</w:t>
      </w:r>
      <w:r/>
    </w:p>
    <w:p>
      <w:pPr>
        <w:ind w:firstLine="482"/>
        <w:jc w:val="left"/>
        <w:spacing w:line="480" w:lineRule="exact"/>
        <w:widowControl w:val="off"/>
        <w:rPr>
          <w:rFonts w:hint="eastAsia" w:ascii="宋体" w:hAnsi="宋体" w:eastAsia="宋体" w:cs="宋体"/>
          <w:sz w:val="24"/>
          <w:szCs w:val="22"/>
          <w:highlight w:val="none"/>
          <w:lang w:val="en-US" w:eastAsia="zh-CN" w:bidi="ar-SA"/>
        </w:rPr>
      </w:pPr>
      <w:r>
        <w:rPr>
          <w:rFonts w:hint="eastAsia" w:ascii="Times New Roman" w:hAnsi="Times New Roman" w:cs="仿宋"/>
          <w:color w:val="auto"/>
          <w:sz w:val="24"/>
          <w:szCs w:val="24"/>
          <w:highlight w:val="none"/>
        </w:rPr>
        <w:t xml:space="preserve">6.合同履行期限：</w:t>
      </w:r>
      <w:r>
        <w:rPr>
          <w:rFonts w:hint="eastAsia" w:ascii="宋体" w:hAnsi="宋体" w:eastAsia="宋体" w:cs="宋体"/>
          <w:sz w:val="24"/>
          <w:szCs w:val="22"/>
          <w:highlight w:val="none"/>
          <w:lang w:val="en-US" w:eastAsia="zh-CN" w:bidi="ar-SA"/>
        </w:rPr>
        <w:t xml:space="preserve">合同签订后60日历天内完成供货安装调试。</w:t>
      </w:r>
      <w:r/>
    </w:p>
    <w:p>
      <w:pPr>
        <w:ind w:firstLine="480"/>
        <w:spacing w:line="48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7.</w:t>
      </w:r>
      <w:r>
        <w:rPr>
          <w:rFonts w:ascii="宋体" w:hAnsi="宋体" w:eastAsia="宋体" w:cs="宋体"/>
          <w:color w:val="auto"/>
          <w:sz w:val="24"/>
          <w:szCs w:val="24"/>
          <w:highlight w:val="none"/>
        </w:rPr>
        <w:t xml:space="preserve">本项目（是/否）接受联合体投标：否</w:t>
      </w:r>
      <w:r>
        <w:rPr>
          <w:rFonts w:hint="eastAsia" w:ascii="Times New Roman" w:hAnsi="Times New Roman" w:cs="仿宋"/>
          <w:color w:val="auto"/>
          <w:sz w:val="24"/>
          <w:szCs w:val="24"/>
          <w:highlight w:val="none"/>
        </w:rPr>
        <w:t xml:space="preserve">。</w:t>
      </w:r>
      <w:r/>
    </w:p>
    <w:p>
      <w:pPr>
        <w:pStyle w:val="716"/>
        <w:ind w:firstLine="643"/>
        <w:spacing w:before="0" w:after="0" w:line="480" w:lineRule="exact"/>
        <w:rPr>
          <w:rFonts w:hint="eastAsia" w:eastAsia="宋体" w:cs="Arial"/>
          <w:bCs/>
          <w:color w:val="auto"/>
          <w:szCs w:val="22"/>
          <w:highlight w:val="none"/>
        </w:rPr>
      </w:pPr>
      <w:r/>
      <w:bookmarkStart w:id="14" w:name="_Toc28359080"/>
      <w:r/>
      <w:bookmarkStart w:id="15" w:name="_Toc35393791"/>
      <w:r/>
      <w:bookmarkStart w:id="16" w:name="_Toc27291"/>
      <w:r/>
      <w:bookmarkStart w:id="17" w:name="_Toc28359003"/>
      <w:r/>
      <w:bookmarkStart w:id="18" w:name="_Toc38985264"/>
      <w:r/>
      <w:bookmarkStart w:id="19" w:name="_Toc35393622"/>
      <w:r>
        <w:rPr>
          <w:rFonts w:hint="eastAsia" w:eastAsia="宋体" w:cs="Arial"/>
          <w:bCs/>
          <w:color w:val="auto"/>
          <w:szCs w:val="22"/>
          <w:highlight w:val="none"/>
        </w:rPr>
        <w:t xml:space="preserve">二、申请人的资格要求</w:t>
      </w:r>
      <w:bookmarkEnd w:id="14"/>
      <w:r/>
      <w:bookmarkEnd w:id="15"/>
      <w:r/>
      <w:bookmarkEnd w:id="16"/>
      <w:r/>
      <w:bookmarkEnd w:id="17"/>
      <w:r/>
      <w:bookmarkEnd w:id="18"/>
      <w:r/>
      <w:bookmarkEnd w:id="19"/>
      <w:r/>
      <w:r/>
    </w:p>
    <w:p>
      <w:pPr>
        <w:ind w:left="0" w:right="0" w:firstLine="480"/>
        <w:jc w:val="both"/>
        <w:spacing w:before="0" w:after="0"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（一）满足《中华人民共和国政府采购法》第二十二条规定：</w:t>
      </w:r>
      <w:bookmarkStart w:id="20" w:name="_Toc28359004"/>
      <w:r/>
      <w:bookmarkStart w:id="21" w:name="_Toc35393792"/>
      <w:r/>
      <w:bookmarkStart w:id="22" w:name="_Toc35393623"/>
      <w:r/>
      <w:bookmarkStart w:id="23" w:name="_Toc28359081"/>
      <w:r/>
      <w:bookmarkStart w:id="24" w:name="_Toc38985265"/>
      <w:r/>
      <w:r/>
    </w:p>
    <w:p>
      <w:pPr>
        <w:ind w:firstLine="480"/>
        <w:spacing w:line="48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1.具备《中华人民共和国政府采购法》第二十二条第一款规定的6项条件（按要求提供投标函）。</w:t>
      </w:r>
      <w:r/>
    </w:p>
    <w:p>
      <w:pPr>
        <w:ind w:firstLine="480"/>
        <w:spacing w:line="48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left="0" w:right="0" w:firstLine="480"/>
        <w:jc w:val="both"/>
        <w:spacing w:before="0" w:after="0" w:line="47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（二）</w:t>
      </w:r>
      <w:r>
        <w:rPr>
          <w:rFonts w:hint="eastAsia" w:ascii="宋体" w:hAnsi="宋体" w:eastAsia="宋体" w:cs="宋体"/>
          <w:color w:val="auto"/>
          <w:sz w:val="24"/>
          <w:highlight w:val="none"/>
        </w:rPr>
        <w:t xml:space="preserve">落实政府采购政策需满足的资格要求：</w:t>
      </w:r>
      <w:r>
        <w:rPr>
          <w:rFonts w:hint="eastAsia" w:ascii="宋体" w:hAnsi="宋体" w:eastAsia="宋体" w:cs="宋体"/>
          <w:color w:val="auto"/>
          <w:sz w:val="24"/>
          <w:highlight w:val="none"/>
          <w:lang w:val="en-US" w:eastAsia="zh-CN"/>
        </w:rPr>
        <w:t xml:space="preserve">无</w:t>
      </w:r>
      <w:r>
        <w:rPr>
          <w:rFonts w:hint="eastAsia" w:ascii="宋体" w:hAnsi="宋体" w:eastAsia="宋体" w:cs="宋体"/>
          <w:color w:val="auto"/>
          <w:sz w:val="24"/>
          <w:highlight w:val="none"/>
        </w:rPr>
        <w:t xml:space="preserve">。</w:t>
      </w:r>
      <w:r/>
    </w:p>
    <w:p>
      <w:pPr>
        <w:ind w:left="0" w:right="0" w:firstLine="480"/>
        <w:jc w:val="both"/>
        <w:spacing w:before="0" w:after="0" w:line="479" w:lineRule="atLeast"/>
        <w:rPr>
          <w:rFonts w:hint="eastAsia" w:ascii="Times New Roman" w:hAnsi="Times New Roman"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（三）</w:t>
      </w:r>
      <w:r>
        <w:rPr>
          <w:rFonts w:hint="eastAsia" w:ascii="宋体" w:hAnsi="宋体" w:eastAsia="宋体" w:cs="宋体"/>
          <w:color w:val="auto"/>
          <w:sz w:val="24"/>
          <w:highlight w:val="none"/>
        </w:rPr>
        <w:t xml:space="preserve">本</w:t>
      </w:r>
      <w:r>
        <w:rPr>
          <w:rFonts w:hint="eastAsia" w:ascii="Times New Roman" w:hAnsi="Times New Roman" w:cs="仿宋"/>
          <w:color w:val="auto"/>
          <w:sz w:val="24"/>
          <w:szCs w:val="24"/>
          <w:highlight w:val="none"/>
        </w:rPr>
        <w:t xml:space="preserve">项目的特定资格要求：</w:t>
      </w:r>
      <w:r/>
    </w:p>
    <w:p>
      <w:pPr>
        <w:ind w:firstLine="480"/>
        <w:spacing w:line="480" w:lineRule="exact"/>
        <w:rPr>
          <w:rFonts w:hint="eastAsia" w:ascii="Times New Roman" w:hAnsi="Times New Roman" w:cs="仿宋"/>
          <w:color w:val="000000"/>
          <w:sz w:val="24"/>
          <w:szCs w:val="24"/>
          <w:highlight w:val="none"/>
        </w:rPr>
      </w:pPr>
      <w:r/>
      <w:bookmarkStart w:id="25" w:name="_Toc22204"/>
      <w:r>
        <w:rPr>
          <w:rFonts w:hint="eastAsia" w:ascii="Times New Roman" w:hAnsi="Times New Roman" w:cs="仿宋"/>
          <w:color w:val="000000"/>
          <w:sz w:val="24"/>
          <w:szCs w:val="24"/>
          <w:highlight w:val="none"/>
        </w:rPr>
        <w:t xml:space="preserve">1.制造商参与投标的，须同时具备有效期内的《中华人民共和国特种设备制造许可证（电梯）》（许可内容：曳引式客梯）和《中华人民共和国特种设备安装改造维修许可证（电梯）》（许可内容：曳引驱动电梯），或具备有效期内的《中华人民共和国特种设备生产许可证（电梯）》[许可项目:电梯制造（含安装、修理、改造）曳引驱动乘客电梯]。</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2.非制造商参与投标的，须同时具备有效期内的以下证书：</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a）《中华人民共和国特种设备安装改造维修许可证（电梯）》（许可内容：曳引驱动电梯），或《中华人民共和国特种设备生产许可证（电梯）》[许可项目：电梯安装（含修理）曳引驱动乘客电梯]；</w:t>
      </w:r>
      <w:r/>
    </w:p>
    <w:p>
      <w:pPr>
        <w:ind w:firstLine="480"/>
        <w:spacing w:line="480" w:lineRule="exact"/>
        <w:rPr>
          <w:rFonts w:hint="eastAsia" w:ascii="Times New Roman" w:hAnsi="Times New Roman" w:eastAsia="宋体" w:cs="仿宋"/>
          <w:color w:val="auto"/>
          <w:sz w:val="24"/>
          <w:szCs w:val="24"/>
          <w:highlight w:val="none"/>
          <w:lang w:val="en-US" w:eastAsia="zh-CN" w:bidi="ar-SA"/>
        </w:rPr>
      </w:pPr>
      <w:r>
        <w:rPr>
          <w:rFonts w:hint="eastAsia" w:ascii="Times New Roman" w:hAnsi="Times New Roman" w:cs="仿宋"/>
          <w:color w:val="000000"/>
          <w:sz w:val="24"/>
          <w:szCs w:val="24"/>
          <w:highlight w:val="none"/>
        </w:rPr>
        <w:t xml:space="preserve">b）所投电梯制造商具有《中华人民共和国特种设备制造许可证（电梯）》（许可内容：曳引式客梯），或《中华人民共和国特种设备生产许可证（电梯）》[许可项目：电梯制造（含安装、修理、改造）曳引驱动乘客电梯]。</w:t>
      </w:r>
      <w:r/>
    </w:p>
    <w:p>
      <w:pPr>
        <w:pStyle w:val="716"/>
        <w:ind w:firstLine="643"/>
        <w:spacing w:before="0" w:after="0" w:line="480" w:lineRule="exact"/>
        <w:rPr>
          <w:rFonts w:hint="eastAsia" w:eastAsia="宋体" w:cs="Arial"/>
          <w:bCs/>
          <w:color w:val="auto"/>
          <w:szCs w:val="22"/>
          <w:highlight w:val="none"/>
        </w:rPr>
      </w:pPr>
      <w:r>
        <w:rPr>
          <w:rFonts w:hint="eastAsia" w:eastAsia="宋体" w:cs="Arial"/>
          <w:bCs/>
          <w:color w:val="auto"/>
          <w:szCs w:val="22"/>
          <w:highlight w:val="none"/>
        </w:rPr>
        <w:t xml:space="preserve">三、获取招标文件</w:t>
      </w:r>
      <w:bookmarkEnd w:id="20"/>
      <w:r/>
      <w:bookmarkEnd w:id="21"/>
      <w:r/>
      <w:bookmarkEnd w:id="22"/>
      <w:r/>
      <w:bookmarkEnd w:id="23"/>
      <w:r/>
      <w:bookmarkEnd w:id="24"/>
      <w:r/>
      <w:bookmarkEnd w:id="25"/>
      <w:r/>
      <w:r/>
    </w:p>
    <w:p>
      <w:pPr>
        <w:ind w:firstLine="480"/>
        <w:spacing w:line="480" w:lineRule="exact"/>
        <w:rPr>
          <w:rFonts w:ascii="Times New Roman" w:hAnsi="Times New Roman" w:cs="仿宋"/>
          <w:color w:val="auto"/>
          <w:sz w:val="24"/>
          <w:szCs w:val="24"/>
          <w:highlight w:val="none"/>
        </w:rPr>
      </w:pPr>
      <w:r/>
      <w:bookmarkStart w:id="26" w:name="_Toc28359005"/>
      <w:r/>
      <w:bookmarkStart w:id="27" w:name="_Toc28359082"/>
      <w:r/>
      <w:bookmarkStart w:id="28" w:name="_Toc38985266"/>
      <w:r/>
      <w:bookmarkStart w:id="29" w:name="_Toc35393793"/>
      <w:r/>
      <w:bookmarkStart w:id="30" w:name="_Toc35393624"/>
      <w:r>
        <w:rPr>
          <w:rFonts w:hint="eastAsia" w:ascii="Times New Roman" w:hAnsi="Times New Roman" w:cs="仿宋"/>
          <w:color w:val="auto"/>
          <w:sz w:val="24"/>
          <w:szCs w:val="24"/>
          <w:highlight w:val="none"/>
        </w:rPr>
        <w:t xml:space="preserve">1.时间：招标公告发布之日起5个工作日。</w:t>
      </w:r>
      <w:r/>
    </w:p>
    <w:p>
      <w:pPr>
        <w:ind w:firstLine="480"/>
        <w:spacing w:line="48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2.方式：投标人应在招标文件提供的时间内，通过“苏采云”系统（网址： http://jszfcg.jsczt.cn/），使用CA锁登录系统后，找到本项目获取招标文件（后缀名为“.kedt”）。</w:t>
      </w:r>
      <w:r/>
    </w:p>
    <w:p>
      <w:pPr>
        <w:ind w:firstLine="480"/>
        <w:spacing w:line="480" w:lineRule="exact"/>
        <w:rPr>
          <w:rFonts w:hint="eastAsia" w:ascii="Times New Roman" w:hAnsi="Times New Roman" w:cs="仿宋"/>
          <w:color w:val="auto"/>
          <w:sz w:val="24"/>
          <w:szCs w:val="24"/>
          <w:highlight w:val="none"/>
        </w:rPr>
      </w:pPr>
      <w:r/>
      <w:bookmarkStart w:id="31" w:name="EB0c44ff4da61f4af989d119fe214be450"/>
      <w:r>
        <w:rPr>
          <w:rFonts w:hint="eastAsia" w:ascii="Times New Roman" w:hAnsi="Times New Roman" w:cs="仿宋"/>
          <w:color w:val="auto"/>
          <w:sz w:val="24"/>
          <w:szCs w:val="24"/>
          <w:highlight w:val="none"/>
        </w:rPr>
        <w:t xml:space="preserve">3.本项目共分</w:t>
      </w:r>
      <w:r>
        <w:rPr>
          <w:rFonts w:hint="eastAsia" w:ascii="Times New Roman" w:hAnsi="Times New Roman" w:cs="仿宋"/>
          <w:color w:val="auto"/>
          <w:sz w:val="24"/>
          <w:szCs w:val="24"/>
          <w:highlight w:val="none"/>
          <w:lang w:val="en-US" w:eastAsia="zh-CN"/>
        </w:rPr>
        <w:t xml:space="preserve">二</w:t>
      </w:r>
      <w:r>
        <w:rPr>
          <w:rFonts w:hint="eastAsia" w:ascii="Times New Roman" w:hAnsi="Times New Roman" w:cs="仿宋"/>
          <w:color w:val="auto"/>
          <w:sz w:val="24"/>
          <w:szCs w:val="24"/>
          <w:highlight w:val="none"/>
        </w:rPr>
        <w:t xml:space="preserve">个采购包。投标人参与多个采购包投标的，应按采购包分别获取招标文件。投标人未按要求获取招标文件，后果自负（其投标文件不予接受）。</w:t>
      </w:r>
      <w:bookmarkEnd w:id="31"/>
      <w:r/>
      <w:r/>
    </w:p>
    <w:p>
      <w:pPr>
        <w:pStyle w:val="716"/>
        <w:ind w:firstLine="643"/>
        <w:spacing w:before="0" w:after="0" w:line="480" w:lineRule="exact"/>
        <w:rPr>
          <w:rFonts w:hint="eastAsia" w:eastAsia="宋体" w:cs="Arial"/>
          <w:bCs/>
          <w:color w:val="auto"/>
          <w:szCs w:val="22"/>
          <w:highlight w:val="none"/>
        </w:rPr>
      </w:pPr>
      <w:r/>
      <w:bookmarkStart w:id="32" w:name="_Toc19148"/>
      <w:r>
        <w:rPr>
          <w:rFonts w:hint="eastAsia" w:eastAsia="宋体" w:cs="Arial"/>
          <w:bCs/>
          <w:color w:val="auto"/>
          <w:szCs w:val="22"/>
          <w:highlight w:val="none"/>
        </w:rPr>
        <w:t xml:space="preserve">四、提交投标文件</w:t>
      </w:r>
      <w:bookmarkEnd w:id="26"/>
      <w:r/>
      <w:bookmarkEnd w:id="27"/>
      <w:r>
        <w:rPr>
          <w:rFonts w:hint="eastAsia" w:eastAsia="宋体" w:cs="Arial"/>
          <w:bCs/>
          <w:color w:val="auto"/>
          <w:szCs w:val="22"/>
          <w:highlight w:val="none"/>
        </w:rPr>
        <w:t xml:space="preserve">截止时间、开标时间和地点</w:t>
      </w:r>
      <w:bookmarkEnd w:id="28"/>
      <w:r/>
      <w:bookmarkEnd w:id="29"/>
      <w:r/>
      <w:bookmarkEnd w:id="30"/>
      <w:r/>
      <w:bookmarkEnd w:id="32"/>
      <w:r/>
      <w:r/>
    </w:p>
    <w:p>
      <w:pPr>
        <w:ind w:firstLine="480"/>
        <w:spacing w:line="48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1.提交投标文件截止时间、开标时间：</w:t>
      </w:r>
      <w:r>
        <w:rPr>
          <w:rFonts w:hint="eastAsia" w:ascii="Times New Roman" w:hAnsi="Times New Roman" w:cs="仿宋"/>
          <w:color w:val="auto"/>
          <w:sz w:val="24"/>
          <w:szCs w:val="24"/>
          <w:highlight w:val="none"/>
          <w:lang w:eastAsia="zh-CN"/>
        </w:rPr>
        <w:t xml:space="preserve">2025年1</w:t>
      </w:r>
      <w:r>
        <w:rPr>
          <w:rFonts w:hint="eastAsia" w:ascii="Times New Roman" w:hAnsi="Times New Roman" w:cs="仿宋"/>
          <w:color w:val="auto"/>
          <w:sz w:val="24"/>
          <w:szCs w:val="24"/>
          <w:highlight w:val="none"/>
          <w:lang w:val="en-US" w:eastAsia="zh-CN"/>
        </w:rPr>
        <w:t xml:space="preserve">2</w:t>
      </w:r>
      <w:r>
        <w:rPr>
          <w:rFonts w:hint="eastAsia" w:ascii="Times New Roman" w:hAnsi="Times New Roman" w:cs="仿宋"/>
          <w:color w:val="auto"/>
          <w:sz w:val="24"/>
          <w:szCs w:val="24"/>
          <w:highlight w:val="none"/>
          <w:lang w:eastAsia="zh-CN"/>
        </w:rPr>
        <w:t xml:space="preserve">月</w:t>
      </w:r>
      <w:r>
        <w:rPr>
          <w:rFonts w:hint="eastAsia" w:ascii="Times New Roman" w:hAnsi="Times New Roman" w:cs="仿宋"/>
          <w:color w:val="auto"/>
          <w:sz w:val="24"/>
          <w:szCs w:val="24"/>
          <w:highlight w:val="none"/>
          <w:lang w:val="en-US" w:eastAsia="zh-CN"/>
        </w:rPr>
        <w:t xml:space="preserve">25</w:t>
      </w:r>
      <w:r>
        <w:rPr>
          <w:rFonts w:hint="eastAsia" w:ascii="Times New Roman" w:hAnsi="Times New Roman" w:cs="仿宋"/>
          <w:color w:val="auto"/>
          <w:sz w:val="24"/>
          <w:szCs w:val="24"/>
          <w:highlight w:val="none"/>
        </w:rPr>
        <w:t xml:space="preserve">日09点</w:t>
      </w:r>
      <w:r>
        <w:rPr>
          <w:rFonts w:hint="eastAsia" w:ascii="Times New Roman" w:hAnsi="Times New Roman" w:cs="仿宋"/>
          <w:color w:val="auto"/>
          <w:sz w:val="24"/>
          <w:szCs w:val="24"/>
          <w:highlight w:val="none"/>
          <w:lang w:val="en-US" w:eastAsia="zh-CN"/>
        </w:rPr>
        <w:t xml:space="preserve">30</w:t>
      </w:r>
      <w:r>
        <w:rPr>
          <w:rFonts w:hint="eastAsia" w:ascii="Times New Roman" w:hAnsi="Times New Roman" w:cs="仿宋"/>
          <w:color w:val="auto"/>
          <w:sz w:val="24"/>
          <w:szCs w:val="24"/>
          <w:highlight w:val="none"/>
        </w:rPr>
        <w:t xml:space="preserve">分（北京时间）</w:t>
      </w:r>
      <w:r/>
    </w:p>
    <w:p>
      <w:pPr>
        <w:ind w:firstLine="480"/>
        <w:spacing w:line="48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2.地点：“苏采云”政府采购交易系统网上开标大厅。</w:t>
      </w:r>
      <w:r/>
    </w:p>
    <w:p>
      <w:pPr>
        <w:pStyle w:val="716"/>
        <w:ind w:firstLine="643"/>
        <w:spacing w:before="0" w:after="0" w:line="480" w:lineRule="exact"/>
        <w:rPr>
          <w:rFonts w:hint="eastAsia" w:eastAsia="宋体" w:cs="Arial"/>
          <w:bCs/>
          <w:color w:val="auto"/>
          <w:szCs w:val="22"/>
          <w:highlight w:val="none"/>
        </w:rPr>
      </w:pPr>
      <w:r/>
      <w:bookmarkStart w:id="33" w:name="_Toc35393625"/>
      <w:r/>
      <w:bookmarkStart w:id="34" w:name="_Toc28359084"/>
      <w:r/>
      <w:bookmarkStart w:id="35" w:name="_Toc28359007"/>
      <w:r/>
      <w:bookmarkStart w:id="36" w:name="_Toc35393794"/>
      <w:r/>
      <w:bookmarkStart w:id="37" w:name="_Toc38985267"/>
      <w:r/>
      <w:bookmarkStart w:id="38" w:name="_Toc24820"/>
      <w:r>
        <w:rPr>
          <w:rFonts w:hint="eastAsia" w:eastAsia="宋体" w:cs="Arial"/>
          <w:bCs/>
          <w:color w:val="auto"/>
          <w:szCs w:val="22"/>
          <w:highlight w:val="none"/>
        </w:rPr>
        <w:t xml:space="preserve">五、公告期限</w:t>
      </w:r>
      <w:bookmarkEnd w:id="33"/>
      <w:r/>
      <w:bookmarkEnd w:id="34"/>
      <w:r/>
      <w:bookmarkEnd w:id="35"/>
      <w:r/>
      <w:bookmarkEnd w:id="36"/>
      <w:r/>
      <w:bookmarkEnd w:id="37"/>
      <w:r/>
      <w:bookmarkEnd w:id="38"/>
      <w:r/>
      <w:r/>
    </w:p>
    <w:p>
      <w:pPr>
        <w:ind w:firstLine="480"/>
        <w:spacing w:line="480" w:lineRule="exact"/>
        <w:rPr>
          <w:rFonts w:hint="eastAsia" w:ascii="Times New Roman" w:hAnsi="Times New Roman" w:cs="仿宋"/>
          <w:color w:val="auto"/>
          <w:sz w:val="24"/>
          <w:szCs w:val="24"/>
          <w:highlight w:val="none"/>
        </w:rPr>
      </w:pPr>
      <w:r/>
      <w:bookmarkStart w:id="39" w:name="_Toc35393626"/>
      <w:r/>
      <w:bookmarkStart w:id="40" w:name="_Toc38985268"/>
      <w:r/>
      <w:bookmarkStart w:id="41" w:name="_Toc35393795"/>
      <w:r>
        <w:rPr>
          <w:rFonts w:hint="eastAsia" w:ascii="Times New Roman" w:hAnsi="Times New Roman" w:cs="仿宋"/>
          <w:color w:val="auto"/>
          <w:sz w:val="24"/>
          <w:szCs w:val="24"/>
          <w:highlight w:val="none"/>
        </w:rPr>
        <w:t xml:space="preserve">招标公告及招标文件公告期限为自本公告发布之日起5个工作日。</w:t>
      </w:r>
      <w:r/>
    </w:p>
    <w:p>
      <w:pPr>
        <w:pStyle w:val="716"/>
        <w:ind w:firstLine="643"/>
        <w:spacing w:before="0" w:after="0" w:line="480" w:lineRule="exact"/>
        <w:rPr>
          <w:rFonts w:hint="eastAsia" w:eastAsia="宋体" w:cs="Arial"/>
          <w:bCs/>
          <w:color w:val="auto"/>
          <w:szCs w:val="22"/>
          <w:highlight w:val="none"/>
        </w:rPr>
      </w:pPr>
      <w:r/>
      <w:bookmarkStart w:id="42" w:name="_Toc13415"/>
      <w:r>
        <w:rPr>
          <w:rFonts w:hint="eastAsia" w:eastAsia="宋体" w:cs="Arial"/>
          <w:bCs/>
          <w:color w:val="auto"/>
          <w:szCs w:val="22"/>
          <w:highlight w:val="none"/>
        </w:rPr>
        <w:t xml:space="preserve">六、其他补充事宜</w:t>
      </w:r>
      <w:bookmarkEnd w:id="39"/>
      <w:r/>
      <w:bookmarkEnd w:id="40"/>
      <w:r/>
      <w:bookmarkEnd w:id="41"/>
      <w:r/>
      <w:bookmarkEnd w:id="42"/>
      <w:r/>
      <w:r/>
    </w:p>
    <w:p>
      <w:pPr>
        <w:ind w:firstLine="480"/>
        <w:spacing w:line="480" w:lineRule="exact"/>
        <w:rPr>
          <w:rFonts w:hint="eastAsia" w:ascii="Times New Roman" w:hAnsi="Times New Roman" w:cs="仿宋"/>
          <w:color w:val="auto"/>
          <w:sz w:val="24"/>
          <w:szCs w:val="24"/>
          <w:highlight w:val="none"/>
        </w:rPr>
      </w:pPr>
      <w:r/>
      <w:bookmarkStart w:id="43" w:name="EB64e1f522fd8c43fcb4d3ba471386b3e7"/>
      <w:r/>
      <w:bookmarkStart w:id="44" w:name="_Toc35393796"/>
      <w:r/>
      <w:bookmarkStart w:id="45" w:name="_Toc35393627"/>
      <w:r/>
      <w:bookmarkStart w:id="46" w:name="_Toc28359008"/>
      <w:r/>
      <w:bookmarkStart w:id="47" w:name="_Toc28359085"/>
      <w:r/>
      <w:bookmarkStart w:id="48" w:name="_Toc38985269"/>
      <w:r>
        <w:rPr>
          <w:rFonts w:hint="eastAsia" w:ascii="Times New Roman" w:hAnsi="Times New Roman" w:cs="仿宋"/>
          <w:color w:val="auto"/>
          <w:sz w:val="24"/>
          <w:szCs w:val="24"/>
          <w:highlight w:val="none"/>
        </w:rPr>
        <w:t xml:space="preserve">1.招标公告发布媒体：</w:t>
      </w:r>
      <w:bookmarkStart w:id="49" w:name="OLE_LINK3"/>
      <w:r>
        <w:rPr>
          <w:rFonts w:hint="eastAsia" w:ascii="Times New Roman" w:hAnsi="Times New Roman" w:cs="仿宋"/>
          <w:color w:val="auto"/>
          <w:sz w:val="24"/>
          <w:szCs w:val="24"/>
          <w:highlight w:val="none"/>
        </w:rPr>
        <w:t xml:space="preserve">江苏政府采购网</w:t>
      </w:r>
      <w:bookmarkEnd w:id="49"/>
      <w:r>
        <w:rPr>
          <w:rFonts w:hint="eastAsia" w:ascii="Times New Roman" w:hAnsi="Times New Roman" w:cs="仿宋"/>
          <w:color w:val="auto"/>
          <w:sz w:val="24"/>
          <w:szCs w:val="24"/>
          <w:highlight w:val="none"/>
        </w:rPr>
        <w:t xml:space="preserve">、宿迁市政府采购网等。</w:t>
      </w:r>
      <w:r/>
    </w:p>
    <w:p>
      <w:pPr>
        <w:ind w:firstLine="480"/>
        <w:spacing w:line="48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2.“CA”数字证书办理：“苏采云”系统目前仅支持“苏采云”系统下的意源CA。省内各地区办理的“苏采云”系统下的意源CA全省通用。宿迁地区CA数字证书办理联系方式：18762803891。</w:t>
      </w:r>
      <w:r/>
    </w:p>
    <w:p>
      <w:pPr>
        <w:ind w:firstLine="480"/>
        <w:spacing w:line="48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3.宿迁地区“苏采云”系统技术支持客服电话：0527-84225125、0519-86722806。</w:t>
      </w:r>
      <w:bookmarkEnd w:id="43"/>
      <w:r/>
      <w:r/>
    </w:p>
    <w:p>
      <w:pPr>
        <w:ind w:firstLine="480"/>
        <w:spacing w:line="480" w:lineRule="exact"/>
        <w:rPr>
          <w:rFonts w:hint="eastAsia" w:ascii="Times New Roman" w:hAnsi="Times New Roman" w:cs="仿宋"/>
          <w:color w:val="auto"/>
          <w:sz w:val="24"/>
          <w:szCs w:val="24"/>
          <w:highlight w:val="none"/>
        </w:rPr>
      </w:pPr>
      <w:r/>
      <w:bookmarkStart w:id="50" w:name="_Toc29049"/>
      <w:r>
        <w:rPr>
          <w:rFonts w:hint="eastAsia" w:ascii="Times New Roman" w:hAnsi="Times New Roman" w:cs="仿宋"/>
          <w:color w:val="auto"/>
          <w:sz w:val="24"/>
          <w:szCs w:val="24"/>
          <w:highlight w:val="none"/>
        </w:rPr>
        <w:t xml:space="preserve">4.如果投标人通过苏采云系统参与政府采购项目，相关操作手册详见链接：http://www.ccgp-jiangsu.gov.cn/jiangsu/zlxz/ee/ee3a4bc5a3454aa2b0d9312230633ce9.html。</w:t>
      </w:r>
      <w:r/>
    </w:p>
    <w:p>
      <w:pPr>
        <w:numPr>
          <w:ilvl w:val="0"/>
          <w:numId w:val="0"/>
        </w:numPr>
        <w:ind w:firstLine="480"/>
        <w:spacing w:line="48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lang w:val="en-US" w:eastAsia="zh-CN" w:bidi="ar-SA"/>
        </w:rPr>
        <w:t xml:space="preserve">5.</w:t>
      </w:r>
      <w:r>
        <w:rPr>
          <w:rFonts w:hint="eastAsia" w:ascii="Times New Roman" w:hAnsi="Times New Roman" w:cs="仿宋"/>
          <w:color w:val="auto"/>
          <w:sz w:val="24"/>
          <w:szCs w:val="24"/>
          <w:highlight w:val="none"/>
        </w:rPr>
        <w:t xml:space="preserve">现场勘察及答疑：本项目不组织集中勘察及答疑，投标人如对采购需求有疑问，请咨询采购单位联系人。</w:t>
      </w:r>
      <w:r/>
    </w:p>
    <w:p>
      <w:pPr>
        <w:numPr>
          <w:ilvl w:val="0"/>
          <w:numId w:val="0"/>
        </w:num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szCs w:val="22"/>
          <w:highlight w:val="none"/>
          <w:lang w:val="en-US" w:eastAsia="zh-CN" w:bidi="ar-SA"/>
        </w:rPr>
        <w:t xml:space="preserve">6.</w:t>
      </w:r>
      <w:r>
        <w:rPr>
          <w:rFonts w:hint="eastAsia" w:ascii="Times New Roman" w:hAnsi="Times New Roman" w:cs="仿宋"/>
          <w:color w:val="auto"/>
          <w:sz w:val="24"/>
          <w:szCs w:val="24"/>
          <w:highlight w:val="none"/>
        </w:rPr>
        <w:t xml:space="preserve">财政部门监督电话：</w:t>
      </w:r>
      <w:r>
        <w:rPr>
          <w:rFonts w:hint="eastAsia" w:ascii="Times New Roman" w:hAnsi="Times New Roman" w:cs="仿宋"/>
          <w:color w:val="auto"/>
          <w:sz w:val="24"/>
          <w:szCs w:val="24"/>
          <w:highlight w:val="none"/>
          <w:lang w:eastAsia="zh-CN"/>
        </w:rPr>
        <w:t xml:space="preserve">0527-8</w:t>
      </w:r>
      <w:r>
        <w:rPr>
          <w:rFonts w:hint="eastAsia" w:ascii="Times New Roman" w:hAnsi="Times New Roman" w:cs="仿宋"/>
          <w:color w:val="auto"/>
          <w:sz w:val="24"/>
          <w:szCs w:val="24"/>
          <w:highlight w:val="none"/>
          <w:lang w:val="en-US" w:eastAsia="zh-CN"/>
        </w:rPr>
        <w:t xml:space="preserve">8359233</w:t>
      </w:r>
      <w:r>
        <w:rPr>
          <w:rFonts w:hint="eastAsia" w:ascii="Times New Roman" w:hAnsi="Times New Roman" w:cs="仿宋"/>
          <w:color w:val="auto"/>
          <w:sz w:val="24"/>
          <w:szCs w:val="24"/>
          <w:highlight w:val="none"/>
        </w:rPr>
        <w:t xml:space="preserve">。</w:t>
      </w:r>
      <w:r/>
    </w:p>
    <w:p>
      <w:pPr>
        <w:pStyle w:val="716"/>
        <w:ind w:firstLine="643"/>
        <w:spacing w:before="0" w:after="0" w:line="480" w:lineRule="exact"/>
        <w:rPr>
          <w:rFonts w:hint="eastAsia" w:eastAsia="宋体" w:cs="Arial"/>
          <w:bCs/>
          <w:color w:val="auto"/>
          <w:szCs w:val="22"/>
          <w:highlight w:val="none"/>
        </w:rPr>
      </w:pPr>
      <w:r>
        <w:rPr>
          <w:rFonts w:hint="eastAsia" w:eastAsia="宋体" w:cs="Arial"/>
          <w:bCs/>
          <w:color w:val="auto"/>
          <w:szCs w:val="22"/>
          <w:highlight w:val="none"/>
        </w:rPr>
        <w:t xml:space="preserve">七、本次招标联系方式</w:t>
      </w:r>
      <w:bookmarkEnd w:id="44"/>
      <w:r/>
      <w:bookmarkEnd w:id="45"/>
      <w:r/>
      <w:bookmarkEnd w:id="46"/>
      <w:r/>
      <w:bookmarkEnd w:id="47"/>
      <w:r/>
      <w:bookmarkEnd w:id="48"/>
      <w:r/>
      <w:bookmarkEnd w:id="50"/>
      <w:r/>
      <w:r/>
    </w:p>
    <w:p>
      <w:pPr>
        <w:ind w:firstLine="480"/>
        <w:jc w:val="left"/>
        <w:spacing w:line="480" w:lineRule="exact"/>
        <w:widowControl/>
        <w:rPr>
          <w:rFonts w:ascii="宋体" w:hAnsi="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jc w:val="left"/>
        <w:spacing w:line="48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名   称：</w:t>
      </w:r>
      <w:r>
        <w:rPr>
          <w:rFonts w:hint="eastAsia" w:ascii="宋体" w:hAnsi="宋体"/>
          <w:color w:val="auto"/>
          <w:sz w:val="24"/>
          <w:szCs w:val="24"/>
          <w:highlight w:val="none"/>
          <w:u w:val="single"/>
          <w:lang w:val="en-US" w:eastAsia="zh-CN"/>
        </w:rPr>
        <w:t xml:space="preserve">沭阳县城市管理局    </w:t>
      </w:r>
      <w:r/>
    </w:p>
    <w:p>
      <w:pPr>
        <w:ind w:firstLine="480"/>
        <w:jc w:val="left"/>
        <w:spacing w:line="480" w:lineRule="exact"/>
        <w:rPr>
          <w:rFonts w:hint="eastAsia" w:ascii="宋体" w:hAnsi="宋体"/>
          <w:color w:val="auto"/>
          <w:sz w:val="24"/>
          <w:szCs w:val="24"/>
          <w:highlight w:val="none"/>
          <w:u w:val="single"/>
          <w:lang w:val="en-US" w:eastAsia="zh-CN"/>
        </w:rPr>
      </w:pPr>
      <w:r>
        <w:rPr>
          <w:rFonts w:hint="eastAsia" w:ascii="宋体" w:hAnsi="宋体"/>
          <w:color w:val="auto"/>
          <w:sz w:val="24"/>
          <w:szCs w:val="24"/>
          <w:highlight w:val="none"/>
        </w:rPr>
        <w:t xml:space="preserve">地   址：</w:t>
      </w:r>
      <w:r>
        <w:rPr>
          <w:rFonts w:hint="eastAsia" w:ascii="宋体" w:hAnsi="宋体"/>
          <w:color w:val="auto"/>
          <w:sz w:val="24"/>
          <w:szCs w:val="24"/>
          <w:highlight w:val="none"/>
          <w:u w:val="single"/>
          <w:lang w:val="en-US" w:eastAsia="zh-CN"/>
        </w:rPr>
        <w:t xml:space="preserve">沭阳县学院路1号    </w:t>
      </w:r>
      <w:r/>
    </w:p>
    <w:p>
      <w:pPr>
        <w:ind w:firstLine="480"/>
        <w:jc w:val="left"/>
        <w:spacing w:line="480" w:lineRule="exact"/>
        <w:rPr>
          <w:rFonts w:hint="default" w:ascii="宋体" w:hAnsi="宋体" w:eastAsia="宋体"/>
          <w:color w:val="auto"/>
          <w:sz w:val="24"/>
          <w:szCs w:val="24"/>
          <w:highlight w:val="none"/>
          <w:u w:val="single"/>
          <w:lang w:val="en-US" w:eastAsia="zh-CN"/>
        </w:rPr>
      </w:pPr>
      <w:r>
        <w:rPr>
          <w:rFonts w:hint="eastAsia" w:ascii="宋体" w:hAnsi="宋体"/>
          <w:color w:val="auto"/>
          <w:sz w:val="24"/>
          <w:szCs w:val="24"/>
          <w:highlight w:val="none"/>
        </w:rPr>
        <w:t xml:space="preserve">联 系 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解乐乐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p>
    <w:p>
      <w:pPr>
        <w:ind w:firstLine="480"/>
        <w:jc w:val="left"/>
        <w:spacing w:line="480" w:lineRule="exact"/>
        <w:rPr>
          <w:rFonts w:hint="default" w:ascii="宋体" w:hAnsi="宋体" w:eastAsia="宋体"/>
          <w:color w:val="auto"/>
          <w:sz w:val="24"/>
          <w:szCs w:val="24"/>
          <w:highlight w:val="none"/>
          <w:u w:val="single"/>
          <w:lang w:val="en-US" w:eastAsia="zh-CN"/>
        </w:rPr>
      </w:pPr>
      <w:r>
        <w:rPr>
          <w:rFonts w:hint="eastAsia" w:ascii="宋体" w:hAnsi="宋体"/>
          <w:color w:val="auto"/>
          <w:sz w:val="24"/>
          <w:szCs w:val="24"/>
          <w:highlight w:val="none"/>
        </w:rPr>
        <w:t xml:space="preserve">联系方式：</w:t>
      </w:r>
      <w:bookmarkStart w:id="51" w:name="_Toc28359086"/>
      <w:r/>
      <w:bookmarkStart w:id="52" w:name="_Toc28359009"/>
      <w:r>
        <w:rPr>
          <w:rFonts w:hint="eastAsia" w:ascii="宋体" w:hAnsi="宋体"/>
          <w:color w:val="auto"/>
          <w:sz w:val="24"/>
          <w:szCs w:val="24"/>
          <w:highlight w:val="none"/>
          <w:u w:val="single"/>
          <w:lang w:val="en-US" w:eastAsia="zh-CN"/>
        </w:rPr>
        <w:t xml:space="preserve">   0527-83512345       </w:t>
      </w:r>
      <w:r/>
    </w:p>
    <w:p>
      <w:pPr>
        <w:ind w:firstLine="480"/>
        <w:jc w:val="left"/>
        <w:spacing w:line="480" w:lineRule="exact"/>
        <w:rPr>
          <w:rFonts w:ascii="宋体" w:hAnsi="宋体"/>
          <w:color w:val="auto"/>
          <w:sz w:val="24"/>
          <w:szCs w:val="24"/>
          <w:highlight w:val="none"/>
        </w:rPr>
      </w:pPr>
      <w:r>
        <w:rPr>
          <w:rFonts w:hint="eastAsia" w:ascii="宋体" w:hAnsi="宋体" w:cs="宋体"/>
          <w:color w:val="auto"/>
          <w:sz w:val="24"/>
          <w:szCs w:val="24"/>
          <w:highlight w:val="none"/>
        </w:rPr>
        <w:t xml:space="preserve">2.</w:t>
      </w:r>
      <w:bookmarkEnd w:id="51"/>
      <w:r/>
      <w:bookmarkEnd w:id="52"/>
      <w:r>
        <w:rPr>
          <w:rFonts w:hint="eastAsia" w:ascii="宋体" w:hAnsi="宋体" w:cs="宋体"/>
          <w:color w:val="auto"/>
          <w:sz w:val="24"/>
          <w:szCs w:val="24"/>
          <w:highlight w:val="none"/>
        </w:rPr>
        <w:t xml:space="preserve">采购代理机构信息</w:t>
      </w:r>
      <w:r/>
    </w:p>
    <w:p>
      <w:pPr>
        <w:ind w:firstLine="480"/>
        <w:jc w:val="left"/>
        <w:spacing w:line="48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名    称：</w:t>
      </w:r>
      <w:r>
        <w:rPr>
          <w:rFonts w:hint="eastAsia" w:ascii="宋体" w:hAnsi="宋体"/>
          <w:color w:val="auto"/>
          <w:sz w:val="24"/>
          <w:szCs w:val="24"/>
          <w:highlight w:val="none"/>
          <w:u w:val="single"/>
          <w:lang w:val="en-US" w:eastAsia="zh-CN"/>
        </w:rPr>
        <w:t xml:space="preserve">沭阳</w:t>
      </w:r>
      <w:r>
        <w:rPr>
          <w:rFonts w:hint="eastAsia" w:ascii="宋体" w:hAnsi="宋体"/>
          <w:color w:val="auto"/>
          <w:sz w:val="24"/>
          <w:szCs w:val="24"/>
          <w:highlight w:val="none"/>
          <w:u w:val="single"/>
          <w:lang w:eastAsia="zh-CN"/>
        </w:rPr>
        <w:t xml:space="preserve">县</w:t>
      </w:r>
      <w:r>
        <w:rPr>
          <w:rFonts w:hint="eastAsia" w:ascii="宋体" w:hAnsi="宋体"/>
          <w:color w:val="auto"/>
          <w:sz w:val="24"/>
          <w:szCs w:val="24"/>
          <w:highlight w:val="none"/>
          <w:u w:val="single"/>
        </w:rPr>
        <w:t xml:space="preserve">公共资源交易中心</w:t>
      </w:r>
      <w:r>
        <w:rPr>
          <w:rFonts w:hint="eastAsia" w:ascii="宋体" w:hAnsi="宋体"/>
          <w:color w:val="auto"/>
          <w:sz w:val="24"/>
          <w:szCs w:val="24"/>
          <w:highlight w:val="none"/>
          <w:u w:val="single"/>
          <w:lang w:val="en-US" w:eastAsia="zh-CN"/>
        </w:rPr>
        <w:t xml:space="preserve">   </w:t>
      </w:r>
      <w:r/>
    </w:p>
    <w:p>
      <w:pPr>
        <w:ind w:firstLine="480"/>
        <w:spacing w:line="480" w:lineRule="exact"/>
        <w:rPr>
          <w:rFonts w:hint="default" w:ascii="宋体" w:hAnsi="宋体" w:eastAsia="宋体"/>
          <w:color w:val="auto"/>
          <w:sz w:val="24"/>
          <w:szCs w:val="24"/>
          <w:highlight w:val="none"/>
          <w:u w:val="single"/>
          <w:lang w:val="en-US" w:eastAsia="zh-CN"/>
        </w:rPr>
      </w:pPr>
      <w:r>
        <w:rPr>
          <w:rFonts w:hint="eastAsia" w:ascii="宋体" w:hAnsi="宋体"/>
          <w:color w:val="auto"/>
          <w:sz w:val="24"/>
          <w:szCs w:val="24"/>
          <w:highlight w:val="none"/>
        </w:rPr>
        <w:t xml:space="preserve">地  　址：</w:t>
      </w:r>
      <w:r>
        <w:rPr>
          <w:rFonts w:hint="eastAsia" w:ascii="宋体" w:hAnsi="宋体"/>
          <w:color w:val="auto"/>
          <w:sz w:val="24"/>
          <w:szCs w:val="24"/>
          <w:highlight w:val="none"/>
          <w:u w:val="single"/>
          <w:lang w:val="en-US" w:eastAsia="zh-CN"/>
        </w:rPr>
        <w:t xml:space="preserve">沭阳县台州北路41号      </w:t>
      </w:r>
      <w:r/>
    </w:p>
    <w:p>
      <w:pPr>
        <w:ind w:firstLine="480"/>
        <w:keepLines w:val="0"/>
        <w:keepNext w:val="0"/>
        <w:pageBreakBefore w:val="0"/>
        <w:spacing w:line="480" w:lineRule="exact"/>
        <w:widowControl w:val="off"/>
        <w:rPr>
          <w:rFonts w:hint="eastAsia" w:ascii="宋体" w:hAnsi="宋体"/>
          <w:color w:val="auto"/>
          <w:sz w:val="24"/>
          <w:szCs w:val="24"/>
          <w:highlight w:val="none"/>
          <w:u w:val="single"/>
          <w:lang w:val="en-US" w:eastAsia="zh-CN"/>
        </w:rPr>
      </w:pPr>
      <w:r>
        <w:rPr>
          <w:rFonts w:hint="eastAsia" w:ascii="宋体" w:hAnsi="宋体"/>
          <w:color w:val="auto"/>
          <w:sz w:val="24"/>
          <w:szCs w:val="24"/>
          <w:highlight w:val="none"/>
        </w:rPr>
        <w:t xml:space="preserve">联 系 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杜睿             </w:t>
      </w:r>
      <w:r/>
    </w:p>
    <w:p>
      <w:pPr>
        <w:ind w:firstLine="480"/>
        <w:keepLines w:val="0"/>
        <w:keepNext w:val="0"/>
        <w:pageBreakBefore w:val="0"/>
        <w:spacing w:line="480" w:lineRule="exact"/>
        <w:widowControl w:val="off"/>
        <w:rPr>
          <w:rFonts w:hint="default" w:ascii="仿宋_GB2312" w:eastAsia="宋体"/>
          <w:color w:val="auto"/>
          <w:sz w:val="24"/>
          <w:highlight w:val="none"/>
          <w:lang w:val="en-US" w:eastAsia="zh-CN"/>
        </w:rPr>
      </w:pPr>
      <w:r>
        <w:rPr>
          <w:rFonts w:hint="eastAsia" w:ascii="宋体" w:hAnsi="宋体"/>
          <w:color w:val="auto"/>
          <w:sz w:val="24"/>
          <w:szCs w:val="24"/>
          <w:highlight w:val="none"/>
        </w:rPr>
        <w:t xml:space="preserve">联系方式：</w:t>
      </w:r>
      <w:r>
        <w:rPr>
          <w:rFonts w:hint="eastAsia" w:ascii="宋体" w:hAnsi="宋体"/>
          <w:color w:val="auto"/>
          <w:sz w:val="24"/>
          <w:szCs w:val="24"/>
          <w:highlight w:val="none"/>
          <w:u w:val="single"/>
          <w:lang w:val="en-US" w:eastAsia="zh-CN"/>
        </w:rPr>
        <w:t xml:space="preserve">  0527-80691527  </w:t>
      </w:r>
      <w:r/>
    </w:p>
    <w:p>
      <w:pPr>
        <w:ind w:firstLine="480"/>
        <w:spacing w:line="480" w:lineRule="exact"/>
        <w:rPr>
          <w:rFonts w:ascii="仿宋_GB2312" w:eastAsia="仿宋_GB2312"/>
          <w:color w:val="auto"/>
          <w:sz w:val="24"/>
          <w:highlight w:val="none"/>
        </w:rPr>
      </w:pPr>
      <w:r>
        <w:rPr>
          <w:rFonts w:ascii="仿宋_GB2312" w:eastAsia="仿宋_GB2312"/>
          <w:color w:val="auto"/>
          <w:sz w:val="24"/>
          <w:highlight w:val="none"/>
        </w:rPr>
      </w:r>
      <w:r/>
    </w:p>
    <w:p>
      <w:pPr>
        <w:ind w:firstLine="480"/>
        <w:jc w:val="center"/>
        <w:spacing w:line="480" w:lineRule="exact"/>
        <w:rPr>
          <w:rFonts w:hint="eastAsia" w:eastAsia="黑体"/>
          <w:color w:val="auto"/>
          <w:sz w:val="44"/>
          <w:highlight w:val="none"/>
        </w:rPr>
        <w:outlineLvl w:val="0"/>
      </w:pPr>
      <w:r>
        <w:rPr>
          <w:rFonts w:hint="eastAsia" w:ascii="仿宋_GB2312" w:eastAsia="仿宋_GB2312"/>
          <w:color w:val="auto"/>
          <w:sz w:val="24"/>
          <w:highlight w:val="none"/>
        </w:rPr>
        <w:br w:type="page" w:clear="all"/>
      </w:r>
      <w:bookmarkStart w:id="53" w:name="_Toc81575190"/>
      <w:r/>
      <w:bookmarkStart w:id="54" w:name="_Toc9425"/>
      <w:r/>
      <w:bookmarkStart w:id="55" w:name="_Toc81575153"/>
      <w:r/>
      <w:bookmarkStart w:id="56" w:name="_Toc11687"/>
      <w:r/>
      <w:bookmarkStart w:id="57" w:name="_Toc15265"/>
      <w:r>
        <w:rPr>
          <w:rFonts w:hint="eastAsia" w:eastAsia="黑体"/>
          <w:color w:val="auto"/>
          <w:sz w:val="44"/>
          <w:highlight w:val="none"/>
        </w:rPr>
        <w:t xml:space="preserve">第二章  投标人须知</w:t>
      </w:r>
      <w:bookmarkEnd w:id="53"/>
      <w:r/>
      <w:bookmarkEnd w:id="54"/>
      <w:r/>
      <w:bookmarkEnd w:id="55"/>
      <w:r/>
      <w:bookmarkEnd w:id="56"/>
      <w:r/>
      <w:bookmarkEnd w:id="57"/>
      <w:r/>
      <w:r/>
    </w:p>
    <w:p>
      <w:pPr>
        <w:pStyle w:val="716"/>
        <w:spacing w:before="0" w:after="120" w:line="520" w:lineRule="exact"/>
        <w:rPr>
          <w:rFonts w:hint="eastAsia" w:eastAsia="宋体" w:cs="Arial"/>
          <w:bCs/>
          <w:color w:val="auto"/>
          <w:szCs w:val="22"/>
          <w:highlight w:val="none"/>
        </w:rPr>
      </w:pPr>
      <w:r/>
      <w:bookmarkStart w:id="58" w:name="_Toc4529"/>
      <w:r>
        <w:rPr>
          <w:rFonts w:hint="eastAsia" w:eastAsia="宋体" w:cs="Arial"/>
          <w:bCs/>
          <w:color w:val="auto"/>
          <w:szCs w:val="22"/>
          <w:highlight w:val="none"/>
        </w:rPr>
        <w:t xml:space="preserve">投标人须知前附表：</w:t>
      </w:r>
      <w:bookmarkEnd w:id="58"/>
      <w:r/>
      <w:r/>
    </w:p>
    <w:tbl>
      <w:tblPr>
        <w:tblStyle w:val="673"/>
        <w:tblpPr w:horzAnchor="page" w:tblpX="1530" w:vertAnchor="text" w:tblpY="228" w:leftFromText="180" w:topFromText="0" w:rightFromText="180" w:bottomFromText="0"/>
        <w:tblW w:w="947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840"/>
      </w:tblGrid>
      <w:tr>
        <w:trPr>
          <w:trHeight w:val="462"/>
        </w:trPr>
        <w:tc>
          <w:tcPr>
            <w:tcW w:w="858" w:type="dxa"/>
            <w:vAlign w:val="center"/>
            <w:textDirection w:val="lrTb"/>
            <w:noWrap w:val="false"/>
          </w:tcPr>
          <w:p>
            <w:pPr>
              <w:jc w:val="center"/>
              <w:rPr>
                <w:rFonts w:hint="eastAsia" w:ascii="仿宋_GB2312" w:hAnsi="仿宋"/>
                <w:b/>
                <w:color w:val="auto"/>
                <w:sz w:val="24"/>
                <w:szCs w:val="24"/>
                <w:highlight w:val="none"/>
              </w:rPr>
            </w:pPr>
            <w:r/>
            <w:bookmarkStart w:id="59" w:name="_Toc29262"/>
            <w:r/>
            <w:bookmarkStart w:id="60" w:name="_Toc81575154"/>
            <w:r/>
            <w:bookmarkStart w:id="61" w:name="_Toc81575191"/>
            <w:r>
              <w:rPr>
                <w:rFonts w:hint="eastAsia" w:ascii="仿宋_GB2312" w:hAnsi="仿宋"/>
                <w:b/>
                <w:color w:val="auto"/>
                <w:sz w:val="24"/>
                <w:szCs w:val="24"/>
                <w:highlight w:val="none"/>
              </w:rPr>
              <w:t xml:space="preserve">序号</w:t>
            </w:r>
            <w:r/>
          </w:p>
        </w:tc>
        <w:tc>
          <w:tcPr>
            <w:tcW w:w="1772" w:type="dxa"/>
            <w:vAlign w:val="center"/>
            <w:textDirection w:val="lrTb"/>
            <w:noWrap w:val="false"/>
          </w:tcPr>
          <w:p>
            <w:pPr>
              <w:jc w:val="center"/>
              <w:rPr>
                <w:rFonts w:hint="eastAsia" w:ascii="仿宋_GB2312" w:hAnsi="仿宋"/>
                <w:b/>
                <w:color w:val="auto"/>
                <w:sz w:val="24"/>
                <w:szCs w:val="24"/>
                <w:highlight w:val="none"/>
              </w:rPr>
            </w:pPr>
            <w:r>
              <w:rPr>
                <w:rFonts w:hint="eastAsia" w:ascii="仿宋_GB2312" w:hAnsi="仿宋"/>
                <w:b/>
                <w:color w:val="auto"/>
                <w:sz w:val="24"/>
                <w:szCs w:val="24"/>
                <w:highlight w:val="none"/>
              </w:rPr>
              <w:t xml:space="preserve">内容</w:t>
            </w:r>
            <w:r/>
          </w:p>
        </w:tc>
        <w:tc>
          <w:tcPr>
            <w:tcW w:w="6840" w:type="dxa"/>
            <w:vAlign w:val="center"/>
            <w:textDirection w:val="lrTb"/>
            <w:noWrap w:val="false"/>
          </w:tcPr>
          <w:p>
            <w:pPr>
              <w:jc w:val="center"/>
              <w:rPr>
                <w:rFonts w:hint="eastAsia" w:ascii="仿宋_GB2312" w:hAnsi="仿宋"/>
                <w:b/>
                <w:color w:val="auto"/>
                <w:sz w:val="24"/>
                <w:szCs w:val="24"/>
                <w:highlight w:val="none"/>
              </w:rPr>
            </w:pPr>
            <w:r>
              <w:rPr>
                <w:rFonts w:hint="eastAsia" w:ascii="仿宋_GB2312" w:hAnsi="仿宋"/>
                <w:b/>
                <w:color w:val="auto"/>
                <w:sz w:val="24"/>
                <w:szCs w:val="24"/>
                <w:highlight w:val="none"/>
              </w:rPr>
              <w:t xml:space="preserve">说明及要求</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项目属性</w:t>
            </w:r>
            <w:r/>
          </w:p>
        </w:tc>
        <w:tc>
          <w:tcPr>
            <w:tcW w:w="6840" w:type="dxa"/>
            <w:vAlign w:val="center"/>
            <w:textDirection w:val="lrTb"/>
            <w:noWrap w:val="false"/>
          </w:tcPr>
          <w:p>
            <w:pPr>
              <w:jc w:val="left"/>
              <w:spacing w:line="40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本项目</w:t>
            </w:r>
            <w:bookmarkStart w:id="62" w:name="EB9a5853ee094f4f0ea6ec3169265f6f2c"/>
            <w:r>
              <w:rPr>
                <w:rFonts w:hint="eastAsia" w:ascii="Times New Roman" w:hAnsi="Times New Roman" w:cs="仿宋"/>
                <w:color w:val="auto"/>
                <w:sz w:val="24"/>
                <w:szCs w:val="24"/>
                <w:highlight w:val="none"/>
              </w:rPr>
              <w:t xml:space="preserve">属性按以下第</w:t>
            </w:r>
            <w:bookmarkEnd w:id="62"/>
            <w:r>
              <w:rPr>
                <w:rFonts w:hint="eastAsia" w:ascii="Times New Roman" w:hAnsi="Times New Roman" w:cs="仿宋"/>
                <w:color w:val="auto"/>
                <w:sz w:val="24"/>
                <w:szCs w:val="24"/>
                <w:highlight w:val="none"/>
                <w:u w:val="single"/>
                <w:lang w:val="en-US" w:eastAsia="zh-CN"/>
              </w:rPr>
              <w:t xml:space="preserve"> 1  </w:t>
            </w:r>
            <w:r>
              <w:rPr>
                <w:rFonts w:hint="eastAsia" w:ascii="Times New Roman" w:hAnsi="Times New Roman" w:cs="仿宋"/>
                <w:color w:val="auto"/>
                <w:sz w:val="24"/>
                <w:szCs w:val="24"/>
                <w:highlight w:val="none"/>
              </w:rPr>
              <w:t xml:space="preserve">种确定：</w:t>
            </w:r>
            <w:r/>
          </w:p>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1.货物</w:t>
            </w:r>
            <w:bookmarkStart w:id="63" w:name="EBd5c6c026f9674c39b21b31ecd0c1e7fa"/>
            <w:r>
              <w:rPr>
                <w:rFonts w:hint="eastAsia" w:ascii="Times New Roman" w:hAnsi="Times New Roman" w:cs="仿宋"/>
                <w:color w:val="auto"/>
                <w:sz w:val="24"/>
                <w:szCs w:val="24"/>
                <w:highlight w:val="none"/>
              </w:rPr>
              <w:t xml:space="preserve">采购；2.</w:t>
            </w:r>
            <w:bookmarkEnd w:id="63"/>
            <w:r>
              <w:rPr>
                <w:rFonts w:hint="eastAsia" w:ascii="Times New Roman" w:hAnsi="Times New Roman" w:cs="仿宋"/>
                <w:color w:val="auto"/>
                <w:sz w:val="24"/>
                <w:szCs w:val="24"/>
                <w:highlight w:val="none"/>
              </w:rPr>
              <w:t xml:space="preserve">服务</w:t>
            </w:r>
            <w:bookmarkStart w:id="64" w:name="EBf7d2a4f44ecb4166a93ea852e73be69f"/>
            <w:r>
              <w:rPr>
                <w:rFonts w:hint="eastAsia" w:ascii="Times New Roman" w:hAnsi="Times New Roman" w:cs="仿宋"/>
                <w:color w:val="auto"/>
                <w:sz w:val="24"/>
                <w:szCs w:val="24"/>
                <w:highlight w:val="none"/>
              </w:rPr>
              <w:t xml:space="preserve">采购；3.</w:t>
            </w:r>
            <w:bookmarkEnd w:id="64"/>
            <w:r>
              <w:rPr>
                <w:rFonts w:hint="eastAsia" w:ascii="Times New Roman" w:hAnsi="Times New Roman" w:cs="仿宋"/>
                <w:color w:val="auto"/>
                <w:sz w:val="24"/>
                <w:szCs w:val="24"/>
                <w:highlight w:val="none"/>
              </w:rPr>
              <w:t xml:space="preserve">工程采购。</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投标有效期</w:t>
            </w:r>
            <w:r/>
          </w:p>
        </w:tc>
        <w:tc>
          <w:tcPr>
            <w:tcW w:w="6840"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bookmarkStart w:id="65" w:name="EBd40b5fb42f2944a3b45e579ce3941f02"/>
            <w:r/>
            <w:bookmarkEnd w:id="65"/>
            <w:r>
              <w:rPr>
                <w:rFonts w:hint="eastAsia" w:ascii="Times New Roman" w:hAnsi="Times New Roman" w:cs="仿宋"/>
                <w:color w:val="auto"/>
                <w:sz w:val="24"/>
                <w:szCs w:val="24"/>
                <w:highlight w:val="none"/>
              </w:rPr>
              <w:t xml:space="preserve">60日（从提交投标文件截止之日起算）</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3</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投标文件份数</w:t>
            </w:r>
            <w:r/>
          </w:p>
        </w:tc>
        <w:tc>
          <w:tcPr>
            <w:tcW w:w="6840"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提交加密电子投标文件</w:t>
            </w:r>
            <w:r>
              <w:rPr>
                <w:rFonts w:hint="eastAsia" w:ascii="Times New Roman" w:hAnsi="Times New Roman" w:cs="仿宋"/>
                <w:color w:val="auto"/>
                <w:sz w:val="24"/>
                <w:szCs w:val="24"/>
                <w:highlight w:val="none"/>
                <w:u w:val="single"/>
              </w:rPr>
              <w:t xml:space="preserve">1</w:t>
            </w:r>
            <w:r>
              <w:rPr>
                <w:rFonts w:hint="eastAsia" w:ascii="Times New Roman" w:hAnsi="Times New Roman" w:cs="仿宋"/>
                <w:color w:val="auto"/>
                <w:sz w:val="24"/>
                <w:szCs w:val="24"/>
                <w:highlight w:val="none"/>
              </w:rPr>
              <w:t xml:space="preserve">份。</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4</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开标</w:t>
            </w:r>
            <w:r/>
          </w:p>
        </w:tc>
        <w:tc>
          <w:tcPr>
            <w:tcW w:w="6840"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5</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进口产品</w:t>
            </w:r>
            <w:r/>
          </w:p>
        </w:tc>
        <w:tc>
          <w:tcPr>
            <w:tcW w:w="6840"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不接受进口产品。</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6</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评标办法</w:t>
            </w:r>
            <w:r/>
          </w:p>
        </w:tc>
        <w:tc>
          <w:tcPr>
            <w:tcW w:w="6840"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具体评标办法详见招标文件第三章。</w:t>
            </w:r>
            <w:r/>
          </w:p>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评标委员会依据招标文件规定的评标办法和标准推荐</w:t>
            </w:r>
            <w:r>
              <w:rPr>
                <w:rFonts w:hint="eastAsia" w:ascii="Times New Roman" w:hAnsi="Times New Roman" w:cs="仿宋"/>
                <w:color w:val="auto"/>
                <w:sz w:val="24"/>
                <w:szCs w:val="24"/>
                <w:highlight w:val="none"/>
                <w:u w:val="single"/>
              </w:rPr>
              <w:t xml:space="preserve">3</w:t>
            </w:r>
            <w:r>
              <w:rPr>
                <w:rFonts w:hint="eastAsia" w:ascii="Times New Roman" w:hAnsi="Times New Roman" w:cs="仿宋"/>
                <w:color w:val="auto"/>
                <w:sz w:val="24"/>
                <w:szCs w:val="24"/>
                <w:highlight w:val="none"/>
              </w:rPr>
              <w:t xml:space="preserve">名中标候选人。</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7</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确定中标人</w:t>
            </w:r>
            <w:r/>
          </w:p>
        </w:tc>
        <w:tc>
          <w:tcPr>
            <w:tcW w:w="6840" w:type="dxa"/>
            <w:vAlign w:val="center"/>
            <w:textDirection w:val="lrTb"/>
            <w:noWrap w:val="false"/>
          </w:tcPr>
          <w:p>
            <w:pPr>
              <w:jc w:val="left"/>
              <w:spacing w:line="40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按以下第</w:t>
            </w:r>
            <w:r>
              <w:rPr>
                <w:rFonts w:hint="eastAsia" w:ascii="Times New Roman" w:hAnsi="Times New Roman" w:cs="仿宋"/>
                <w:color w:val="auto"/>
                <w:sz w:val="24"/>
                <w:szCs w:val="24"/>
                <w:highlight w:val="none"/>
                <w:u w:val="single"/>
                <w:lang w:val="en-US" w:eastAsia="zh-CN"/>
              </w:rPr>
              <w:t xml:space="preserve">1</w:t>
            </w:r>
            <w:r>
              <w:rPr>
                <w:rFonts w:hint="eastAsia" w:ascii="Times New Roman" w:hAnsi="Times New Roman" w:cs="仿宋"/>
                <w:color w:val="auto"/>
                <w:sz w:val="24"/>
                <w:szCs w:val="24"/>
                <w:highlight w:val="none"/>
              </w:rPr>
              <w:t xml:space="preserve">种方式确定中标人：</w:t>
            </w:r>
            <w:r/>
          </w:p>
          <w:p>
            <w:pPr>
              <w:jc w:val="left"/>
              <w:spacing w:line="40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1.采购人按规定在评标委员会推荐的中标候选人中确定中标人；</w:t>
            </w:r>
            <w:r/>
          </w:p>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2.采购人授权评标委员会直接确定中标人。</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8</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分包要求</w:t>
            </w:r>
            <w:r/>
          </w:p>
        </w:tc>
        <w:tc>
          <w:tcPr>
            <w:tcW w:w="6840"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bookmarkStart w:id="66" w:name="EBebac1462c5d9459fbda8a75065c2455d"/>
            <w:r>
              <w:rPr>
                <w:rFonts w:hint="eastAsia" w:ascii="Times New Roman" w:hAnsi="Times New Roman" w:cs="仿宋"/>
                <w:color w:val="auto"/>
                <w:sz w:val="24"/>
                <w:szCs w:val="24"/>
                <w:highlight w:val="none"/>
              </w:rPr>
              <w:t xml:space="preserve">本项目的非主体、非关键性工作是否允许分包</w:t>
            </w:r>
            <w:bookmarkEnd w:id="66"/>
            <w:r>
              <w:rPr>
                <w:rFonts w:hint="eastAsia" w:ascii="Times New Roman" w:hAnsi="Times New Roman" w:cs="仿宋"/>
                <w:color w:val="auto"/>
                <w:sz w:val="24"/>
                <w:szCs w:val="24"/>
                <w:highlight w:val="none"/>
              </w:rPr>
              <w:t xml:space="preserve">按以下方式确定：不允许分包。</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9</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代理费用收取方式及标准</w:t>
            </w:r>
            <w:r/>
          </w:p>
        </w:tc>
        <w:tc>
          <w:tcPr>
            <w:tcW w:w="6840"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bookmarkStart w:id="67" w:name="EBfe735bb6fc4d4e5e9e350f940db98c5f"/>
            <w:r/>
            <w:bookmarkEnd w:id="67"/>
            <w:r>
              <w:rPr>
                <w:rFonts w:hint="eastAsia" w:ascii="Times New Roman" w:hAnsi="Times New Roman" w:cs="仿宋"/>
                <w:color w:val="auto"/>
                <w:sz w:val="24"/>
                <w:szCs w:val="24"/>
                <w:highlight w:val="none"/>
              </w:rPr>
              <w:t xml:space="preserve">本项目不收取代理费。</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10</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其他</w:t>
            </w:r>
            <w:bookmarkEnd w:id="59"/>
            <w:r/>
            <w:bookmarkEnd w:id="60"/>
            <w:r/>
            <w:bookmarkEnd w:id="61"/>
            <w:r/>
            <w:r/>
          </w:p>
        </w:tc>
        <w:tc>
          <w:tcPr>
            <w:tcW w:w="6840"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信用信息查询截止时间：资格审查结束前。由采购人在资格审查现场查询信用信息，网页截屏打印，查询结果留存并归档。</w:t>
            </w:r>
            <w:r/>
          </w:p>
        </w:tc>
      </w:tr>
    </w:tbl>
    <w:p>
      <w:pPr>
        <w:rPr>
          <w:color w:val="auto"/>
          <w:sz w:val="20"/>
          <w:highlight w:val="none"/>
        </w:rPr>
      </w:pPr>
      <w:r>
        <w:rPr>
          <w:color w:val="auto"/>
          <w:sz w:val="20"/>
          <w:highlight w:val="none"/>
        </w:rPr>
      </w:r>
      <w:r/>
    </w:p>
    <w:p>
      <w:pPr>
        <w:pStyle w:val="716"/>
        <w:ind w:firstLine="321"/>
        <w:spacing w:before="0" w:after="0" w:line="480" w:lineRule="exact"/>
        <w:rPr>
          <w:rFonts w:hint="eastAsia" w:eastAsia="宋体" w:cs="Arial"/>
          <w:bCs/>
          <w:color w:val="auto"/>
          <w:szCs w:val="22"/>
          <w:highlight w:val="none"/>
        </w:rPr>
      </w:pPr>
      <w:r/>
      <w:bookmarkStart w:id="68" w:name="EB6eaaf474639940df900ef4965d71f450"/>
      <w:r/>
      <w:bookmarkEnd w:id="68"/>
      <w:r/>
      <w:bookmarkStart w:id="69" w:name="_Toc30953"/>
      <w:r/>
      <w:bookmarkStart w:id="70" w:name="_Toc81575192"/>
      <w:r/>
      <w:bookmarkStart w:id="71" w:name="_Toc81575155"/>
      <w:r/>
      <w:bookmarkStart w:id="72" w:name="_Toc8239"/>
      <w:r>
        <w:rPr>
          <w:rFonts w:hint="eastAsia" w:eastAsia="宋体" w:cs="Arial"/>
          <w:bCs/>
          <w:color w:val="auto"/>
          <w:szCs w:val="22"/>
          <w:highlight w:val="none"/>
        </w:rPr>
        <w:t xml:space="preserve">一、总 则</w:t>
      </w:r>
      <w:bookmarkEnd w:id="69"/>
      <w:r/>
      <w:bookmarkEnd w:id="70"/>
      <w:r/>
      <w:bookmarkEnd w:id="71"/>
      <w:r/>
      <w:bookmarkEnd w:id="72"/>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1、招标方式</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本次采购采取公开招标方式。</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2、合格的投标人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2.2满足本文件实质性要求的规定。</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3、适用法律</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本次招标及由招标产生的合同受中华人民共和国的相关法律、法规制约和保护。</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4、投标费用</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投标人应自行承担所有参加投标有关的费用。</w:t>
      </w:r>
      <w:r/>
    </w:p>
    <w:p>
      <w:pPr>
        <w:pStyle w:val="716"/>
        <w:ind w:firstLine="321"/>
        <w:spacing w:before="0" w:after="0" w:line="480" w:lineRule="exact"/>
        <w:rPr>
          <w:rFonts w:hint="eastAsia" w:eastAsia="宋体" w:cs="Arial"/>
          <w:bCs/>
          <w:color w:val="auto"/>
          <w:szCs w:val="22"/>
          <w:highlight w:val="none"/>
        </w:rPr>
      </w:pPr>
      <w:r/>
      <w:bookmarkStart w:id="73" w:name="_Toc81575193"/>
      <w:r/>
      <w:bookmarkStart w:id="74" w:name="_Toc15995"/>
      <w:r/>
      <w:bookmarkStart w:id="75" w:name="_Toc29306"/>
      <w:r/>
      <w:bookmarkStart w:id="76" w:name="_Toc81575156"/>
      <w:r>
        <w:rPr>
          <w:rFonts w:hint="eastAsia" w:eastAsia="宋体" w:cs="Arial"/>
          <w:bCs/>
          <w:color w:val="auto"/>
          <w:szCs w:val="22"/>
          <w:highlight w:val="none"/>
        </w:rPr>
        <w:t xml:space="preserve">二、招标文件</w:t>
      </w:r>
      <w:bookmarkEnd w:id="73"/>
      <w:r/>
      <w:bookmarkEnd w:id="74"/>
      <w:r/>
      <w:bookmarkEnd w:id="75"/>
      <w:r/>
      <w:bookmarkEnd w:id="76"/>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5、招标文件构成</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5.1招标文件由以下部分组成：</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第一章：投标邀请；</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第二章：投标人须知；</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第三章：资格审查及评标办法；</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第四章：采购需求；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第五章：合同文本；</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第六章：投标文件格式。</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请仔细检查招标文件是否齐全，如有缺漏请立即与代理机构联系解决。</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6、政府采购政策功能落实</w:t>
      </w:r>
      <w:r/>
    </w:p>
    <w:p>
      <w:pPr>
        <w:ind w:firstLine="482"/>
        <w:spacing w:line="480" w:lineRule="exact"/>
        <w:rPr>
          <w:rFonts w:ascii="Times New Roman" w:hAnsi="Times New Roman" w:cs="仿宋"/>
          <w:b/>
          <w:bCs/>
          <w:color w:val="auto"/>
          <w:sz w:val="24"/>
          <w:highlight w:val="none"/>
          <w:u w:val="single"/>
        </w:rPr>
      </w:pPr>
      <w:r>
        <w:rPr>
          <w:rFonts w:hint="eastAsia" w:ascii="Times New Roman" w:hAnsi="Times New Roman" w:cs="仿宋"/>
          <w:b/>
          <w:bCs/>
          <w:color w:val="auto"/>
          <w:sz w:val="24"/>
          <w:highlight w:val="none"/>
        </w:rPr>
        <w:t xml:space="preserve">本项目落实的政府采购政策对应序号为</w:t>
      </w:r>
      <w:r>
        <w:rPr>
          <w:rFonts w:hint="eastAsia" w:ascii="Times New Roman" w:hAnsi="Times New Roman" w:cs="仿宋"/>
          <w:b/>
          <w:bCs/>
          <w:color w:val="auto"/>
          <w:sz w:val="24"/>
          <w:highlight w:val="none"/>
          <w:u w:val="single"/>
        </w:rPr>
        <w:t xml:space="preserve"> </w:t>
      </w:r>
      <w:r>
        <w:rPr>
          <w:rFonts w:hint="eastAsia" w:ascii="Times New Roman" w:hAnsi="Times New Roman" w:cs="仿宋"/>
          <w:b/>
          <w:bCs/>
          <w:color w:val="auto"/>
          <w:sz w:val="24"/>
          <w:highlight w:val="none"/>
          <w:u w:val="single"/>
          <w:lang w:val="en-US" w:eastAsia="zh-CN"/>
        </w:rPr>
        <w:t xml:space="preserve">6.1，6.2，6.3</w:t>
      </w:r>
      <w:r>
        <w:rPr>
          <w:rFonts w:hint="eastAsia" w:ascii="Times New Roman" w:hAnsi="Times New Roman" w:cs="仿宋"/>
          <w:b/>
          <w:bCs/>
          <w:color w:val="auto"/>
          <w:sz w:val="24"/>
          <w:highlight w:val="none"/>
          <w:u w:val="single"/>
        </w:rPr>
        <w:t xml:space="preserve">，6.4 </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6.1中小企业政策</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本项目按第</w:t>
      </w:r>
      <w:r>
        <w:rPr>
          <w:rFonts w:hint="eastAsia" w:ascii="Times New Roman" w:hAnsi="Times New Roman" w:cs="仿宋"/>
          <w:color w:val="auto"/>
          <w:sz w:val="24"/>
          <w:highlight w:val="none"/>
          <w:u w:val="single"/>
        </w:rPr>
        <w:t xml:space="preserve">（2）</w:t>
      </w:r>
      <w:r>
        <w:rPr>
          <w:rFonts w:hint="eastAsia" w:ascii="Times New Roman" w:hAnsi="Times New Roman" w:cs="仿宋"/>
          <w:color w:val="auto"/>
          <w:sz w:val="24"/>
          <w:highlight w:val="none"/>
        </w:rPr>
        <w:t xml:space="preserve">种政策落实：</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（1）本项目专门面向中小企业（含监狱与戒毒企业、残疾人福利企业）采购。</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（2）对符合规定情形的小微企业报价给予</w:t>
      </w:r>
      <w:r>
        <w:rPr>
          <w:rFonts w:hint="eastAsia" w:ascii="Times New Roman" w:hAnsi="Times New Roman" w:cs="仿宋"/>
          <w:b/>
          <w:bCs/>
          <w:color w:val="auto"/>
          <w:sz w:val="24"/>
          <w:highlight w:val="none"/>
          <w:u w:val="single"/>
        </w:rPr>
        <w:t xml:space="preserve">1</w:t>
      </w:r>
      <w:r>
        <w:rPr>
          <w:rFonts w:hint="eastAsia" w:ascii="Times New Roman" w:hAnsi="Times New Roman" w:cs="仿宋"/>
          <w:b/>
          <w:bCs/>
          <w:color w:val="auto"/>
          <w:sz w:val="24"/>
          <w:highlight w:val="none"/>
          <w:u w:val="single"/>
          <w:lang w:val="en-US" w:eastAsia="zh-CN"/>
        </w:rPr>
        <w:t xml:space="preserve">5</w:t>
      </w:r>
      <w:r>
        <w:rPr>
          <w:rFonts w:hint="eastAsia" w:ascii="Times New Roman" w:hAnsi="Times New Roman" w:cs="仿宋"/>
          <w:b/>
          <w:bCs/>
          <w:color w:val="auto"/>
          <w:sz w:val="24"/>
          <w:highlight w:val="none"/>
          <w:u w:val="single"/>
        </w:rPr>
        <w:t xml:space="preserve">%</w:t>
      </w:r>
      <w:r>
        <w:rPr>
          <w:rFonts w:hint="eastAsia" w:ascii="Times New Roman" w:hAnsi="Times New Roman" w:cs="仿宋"/>
          <w:color w:val="auto"/>
          <w:sz w:val="24"/>
          <w:highlight w:val="none"/>
        </w:rPr>
        <w:t xml:space="preserve">扣除，用扣除后的价格参加评审。</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在服务采购项目中，服务由中小企业承接，即提供服务的人员为中小企业依照《中华人民共和国劳动合同法》订立劳动合同的从业人员。</w:t>
      </w:r>
      <w:r/>
    </w:p>
    <w:p>
      <w:pPr>
        <w:ind w:firstLine="482"/>
        <w:spacing w:line="480" w:lineRule="exact"/>
        <w:rPr>
          <w:rFonts w:hint="eastAsia" w:ascii="Times New Roman" w:hAnsi="Times New Roman" w:cs="仿宋"/>
          <w:color w:val="auto"/>
          <w:sz w:val="24"/>
          <w:highlight w:val="none"/>
        </w:rPr>
      </w:pPr>
      <w:r>
        <w:rPr>
          <w:rFonts w:hint="eastAsia" w:ascii="Times New Roman" w:hAnsi="Times New Roman" w:cs="仿宋_GB2312"/>
          <w:b/>
          <w:bCs/>
          <w:color w:val="auto"/>
          <w:sz w:val="24"/>
          <w:highlight w:val="none"/>
        </w:rPr>
        <w:t xml:space="preserve">在货物采购项目中，货物由中小企业制造，即货物由中小企业生产且使用该中小企业商号或者注册商标。</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auto"/>
          <w:sz w:val="24"/>
          <w:highlight w:val="none"/>
          <w:u w:val="single"/>
        </w:rPr>
        <w:t xml:space="preserve">5</w:t>
      </w:r>
      <w:r>
        <w:rPr>
          <w:rFonts w:hint="eastAsia" w:ascii="Times New Roman" w:hAnsi="Times New Roman" w:cs="仿宋"/>
          <w:color w:val="auto"/>
          <w:sz w:val="24"/>
          <w:highlight w:val="none"/>
        </w:rPr>
        <w:t xml:space="preserve">%（工程项目为</w:t>
      </w:r>
      <w:r>
        <w:rPr>
          <w:rFonts w:hint="eastAsia" w:ascii="Times New Roman" w:hAnsi="Times New Roman" w:cs="仿宋"/>
          <w:color w:val="auto"/>
          <w:sz w:val="24"/>
          <w:highlight w:val="none"/>
          <w:u w:val="single"/>
        </w:rPr>
        <w:t xml:space="preserve">2</w:t>
      </w:r>
      <w:r>
        <w:rPr>
          <w:rFonts w:hint="eastAsia" w:ascii="Times New Roman" w:hAnsi="Times New Roman" w:cs="仿宋"/>
          <w:color w:val="auto"/>
          <w:sz w:val="24"/>
          <w:highlight w:val="none"/>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⑤联合体各方均为小型、微型企业（残疾人福利单位、监狱企业）的，联合体享受15%价格扣除，用扣除后的价格参与评审。（是否接受联合体以“项目基本情况”相关内容为准）</w:t>
      </w:r>
      <w:r/>
    </w:p>
    <w:p>
      <w:pPr>
        <w:ind w:firstLine="480"/>
        <w:spacing w:line="480" w:lineRule="exact"/>
        <w:tabs>
          <w:tab w:val="left" w:pos="260" w:leader="none"/>
          <w:tab w:val="left" w:pos="335" w:leader="none"/>
        </w:tabs>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6.2节能产品、环境标志产品</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keepLines w:val="0"/>
        <w:keepNext w:val="0"/>
        <w:pageBreakBefore w:val="0"/>
        <w:spacing w:line="480" w:lineRule="exact"/>
        <w:widowControl w:val="off"/>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6.2.</w:t>
      </w:r>
      <w:r>
        <w:rPr>
          <w:rFonts w:hint="eastAsia" w:ascii="Times New Roman" w:hAnsi="Times New Roman" w:eastAsia="宋体" w:cs="仿宋"/>
          <w:color w:val="auto"/>
          <w:sz w:val="24"/>
          <w:highlight w:val="none"/>
          <w:lang w:val="en-US" w:eastAsia="zh-CN"/>
        </w:rPr>
        <w:t xml:space="preserve">2</w:t>
      </w:r>
      <w:r>
        <w:rPr>
          <w:rFonts w:hint="eastAsia" w:ascii="Times New Roman" w:hAnsi="Times New Roman" w:eastAsia="宋体" w:cs="仿宋"/>
          <w:color w:val="auto"/>
          <w:sz w:val="24"/>
          <w:highlight w:val="none"/>
        </w:rPr>
        <w:t xml:space="preserve">采购人拟采购的产品属于优先采购的节能环保品目清单范围的，按以下条件优先采购：</w:t>
      </w:r>
      <w:r/>
    </w:p>
    <w:p>
      <w:pPr>
        <w:ind w:firstLine="480"/>
        <w:keepLines w:val="0"/>
        <w:keepNext w:val="0"/>
        <w:pageBreakBefore w:val="0"/>
        <w:spacing w:line="480" w:lineRule="exact"/>
        <w:widowControl w:val="off"/>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采用综合评分法的项目，对提供有效节能环保证书的投标人加分。</w:t>
      </w:r>
      <w:r/>
    </w:p>
    <w:p>
      <w:pPr>
        <w:ind w:firstLine="480"/>
        <w:keepLines w:val="0"/>
        <w:keepNext w:val="0"/>
        <w:pageBreakBefore w:val="0"/>
        <w:spacing w:line="480" w:lineRule="exact"/>
        <w:widowControl w:val="off"/>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采用最低评标价法的项目，同等条件下优先推荐提供有效节能环保证书多的投标人为中标人。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6.3政府采购需求标准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6.3.1商品包装、快递包装政府采购需求标准（试行）</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6.3.2绿色数据中心政府采购需求标准（试行）</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6.3.3绿色建材政府采购需求标准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按照财政部 住房和城乡建设部 工业和信息化部关于印发《关于扩大政府采购支持绿色建材促进建筑品质提升政策实施范围的通知</w:t>
      </w:r>
      <w:r>
        <w:rPr>
          <w:rFonts w:hint="eastAsia" w:ascii="Times New Roman" w:hAnsi="Times New Roman" w:cs="仿宋"/>
          <w:color w:val="auto"/>
          <w:sz w:val="24"/>
          <w:highlight w:val="none"/>
          <w:lang w:eastAsia="zh-CN"/>
        </w:rPr>
        <w:t xml:space="preserve">》的</w:t>
      </w:r>
      <w:r>
        <w:rPr>
          <w:rFonts w:hint="eastAsia" w:ascii="Times New Roman" w:hAnsi="Times New Roman" w:cs="仿宋"/>
          <w:color w:val="auto"/>
          <w:sz w:val="24"/>
          <w:highlight w:val="none"/>
        </w:rPr>
        <w:t xml:space="preserve">要求执行，本项目绿色建材的具体需求详见第四章采购需求。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7、招标文件的澄清或修改</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7.2招标文件的澄清、修改将在原公告媒体上发布更正公告，澄清、修改文件均作为招标文件的组成部分，并对投标人具有约束力。</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7.3投标人应及时登录“苏采云”系统获取澄清答疑文件（修改后的招标文件），如投标人未能及时下载澄清答疑文件，造成的相关责任由投标人承担。</w:t>
      </w:r>
      <w:r/>
    </w:p>
    <w:p>
      <w:pPr>
        <w:pStyle w:val="716"/>
        <w:ind w:firstLine="321"/>
        <w:spacing w:before="0" w:after="0" w:line="480" w:lineRule="exact"/>
        <w:rPr>
          <w:rFonts w:hint="eastAsia" w:eastAsia="宋体" w:cs="Arial"/>
          <w:bCs/>
          <w:color w:val="auto"/>
          <w:szCs w:val="22"/>
          <w:highlight w:val="none"/>
        </w:rPr>
      </w:pPr>
      <w:r/>
      <w:bookmarkStart w:id="77" w:name="_Toc11461"/>
      <w:r/>
      <w:bookmarkStart w:id="78" w:name="_Toc81575194"/>
      <w:r/>
      <w:bookmarkStart w:id="79" w:name="_Toc81575157"/>
      <w:r/>
      <w:bookmarkStart w:id="80" w:name="_Toc5574"/>
      <w:r>
        <w:rPr>
          <w:rFonts w:hint="eastAsia" w:eastAsia="宋体" w:cs="Arial"/>
          <w:bCs/>
          <w:color w:val="auto"/>
          <w:szCs w:val="22"/>
          <w:highlight w:val="none"/>
        </w:rPr>
        <w:t xml:space="preserve">三、投标文件的编制</w:t>
      </w:r>
      <w:bookmarkEnd w:id="77"/>
      <w:r/>
      <w:bookmarkEnd w:id="78"/>
      <w:r/>
      <w:bookmarkEnd w:id="79"/>
      <w:r/>
      <w:bookmarkEnd w:id="80"/>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8、投标文件的编制要求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8.1投标人应仔细阅读“招标文件”的所有内容，保证所提供的全部资料的真实性、完整性及有效性，以使其投标对“招标文件”作出实质性响应。</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9、投标文件构成</w:t>
      </w:r>
      <w:r/>
    </w:p>
    <w:p>
      <w:pPr>
        <w:ind w:firstLine="480"/>
        <w:spacing w:line="480" w:lineRule="exact"/>
        <w:rPr>
          <w:rFonts w:ascii="Times New Roman" w:hAnsi="Times New Roman" w:cs="仿宋"/>
          <w:bCs/>
          <w:color w:val="auto"/>
          <w:sz w:val="24"/>
          <w:highlight w:val="none"/>
        </w:rPr>
      </w:pPr>
      <w:r>
        <w:rPr>
          <w:rFonts w:hint="eastAsia" w:ascii="Times New Roman" w:hAnsi="Times New Roman" w:cs="仿宋"/>
          <w:color w:val="auto"/>
          <w:sz w:val="24"/>
          <w:highlight w:val="none"/>
        </w:rPr>
        <w:t xml:space="preserve">9.1投标文件包括资格证明文件、开标一览表、分项报价表、响应及偏离表、投标函、其他证明文件等部分。</w:t>
      </w:r>
      <w:r>
        <w:rPr>
          <w:rFonts w:hint="eastAsia" w:ascii="Times New Roman" w:hAnsi="Times New Roman" w:cs="仿宋"/>
          <w:bCs/>
          <w:color w:val="auto"/>
          <w:sz w:val="24"/>
          <w:highlight w:val="none"/>
        </w:rPr>
        <w:t xml:space="preserve">投标文件构成资料为非中文时应提供中文译版。</w:t>
      </w:r>
      <w:bookmarkStart w:id="81" w:name="EBc50e2bb832bb43068403b10c1cce6141"/>
      <w:r/>
      <w:r/>
    </w:p>
    <w:p>
      <w:pPr>
        <w:ind w:firstLine="482"/>
        <w:spacing w:line="480" w:lineRule="exact"/>
        <w:rPr>
          <w:rFonts w:ascii="Times New Roman" w:hAnsi="Times New Roman" w:cs="仿宋"/>
          <w:bCs/>
          <w:color w:val="auto"/>
          <w:sz w:val="24"/>
          <w:highlight w:val="none"/>
        </w:rPr>
      </w:pPr>
      <w:r>
        <w:rPr>
          <w:rFonts w:hint="eastAsia" w:ascii="Times New Roman" w:hAnsi="Times New Roman" w:cs="仿宋"/>
          <w:b/>
          <w:color w:val="auto"/>
          <w:sz w:val="24"/>
          <w:highlight w:val="none"/>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w:t>
      </w:r>
      <w:r>
        <w:rPr>
          <w:rFonts w:hint="eastAsia" w:ascii="Times New Roman" w:hAnsi="Times New Roman" w:cs="仿宋"/>
          <w:b/>
          <w:color w:val="auto"/>
          <w:sz w:val="24"/>
          <w:highlight w:val="none"/>
          <w:lang w:eastAsia="zh-CN"/>
        </w:rPr>
        <w:t xml:space="preserve">子文</w:t>
      </w:r>
      <w:r>
        <w:rPr>
          <w:rFonts w:hint="eastAsia" w:ascii="Times New Roman" w:hAnsi="Times New Roman" w:cs="仿宋"/>
          <w:b/>
          <w:color w:val="auto"/>
          <w:sz w:val="24"/>
          <w:highlight w:val="none"/>
        </w:rPr>
        <w:t xml:space="preserve">件的，评标委员会可以视同其未提供。</w:t>
      </w:r>
      <w:bookmarkEnd w:id="81"/>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10、投标报价</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10.1报价为一次报价，本项目不接受备选的投标方案或有选择的报价，只允许有一个报价。</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10.2报价注意事项：投标价格一律以人民币计算，以元为单位标注，最多保留至小数点后两位，招标文件有规定的按招标文件执行。</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11、投标保证金</w:t>
      </w:r>
      <w:bookmarkStart w:id="82" w:name="EB183a0bf075204c54a4ff090f1aecaaa7"/>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本项目不收取投标保证金。</w:t>
      </w:r>
      <w:bookmarkEnd w:id="82"/>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12、投标有效期</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716"/>
        <w:ind w:firstLine="321"/>
        <w:spacing w:before="0" w:after="0" w:line="480" w:lineRule="exact"/>
        <w:rPr>
          <w:rFonts w:hint="eastAsia" w:eastAsia="宋体" w:cs="Arial"/>
          <w:bCs/>
          <w:color w:val="auto"/>
          <w:szCs w:val="22"/>
          <w:highlight w:val="none"/>
        </w:rPr>
      </w:pPr>
      <w:r/>
      <w:bookmarkStart w:id="83" w:name="_Toc2773"/>
      <w:r/>
      <w:bookmarkStart w:id="84" w:name="_Toc81575158"/>
      <w:r/>
      <w:bookmarkStart w:id="85" w:name="_Toc81575195"/>
      <w:r/>
      <w:bookmarkStart w:id="86" w:name="_Toc23443"/>
      <w:r>
        <w:rPr>
          <w:rFonts w:hint="eastAsia" w:eastAsia="宋体" w:cs="Arial"/>
          <w:bCs/>
          <w:color w:val="auto"/>
          <w:szCs w:val="22"/>
          <w:highlight w:val="none"/>
        </w:rPr>
        <w:t xml:space="preserve">四、投标文件的提交</w:t>
      </w:r>
      <w:bookmarkEnd w:id="83"/>
      <w:r/>
      <w:bookmarkEnd w:id="84"/>
      <w:r/>
      <w:bookmarkEnd w:id="85"/>
      <w:r/>
      <w:bookmarkEnd w:id="86"/>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13、投标文件的提交</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13.2投标文件的修改和撤回：在投标截止时间前，投标人可以撤回或重新提交投标文件。投标文件以最终完成上传的为准。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14、投标文件被拒绝接收的情形</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在招标文件规定的投标截止时间后上传的投标文件或对投标报价或其他实质性内容修正的文件。</w:t>
      </w:r>
      <w:r/>
    </w:p>
    <w:p>
      <w:pPr>
        <w:pStyle w:val="716"/>
        <w:ind w:firstLine="321"/>
        <w:spacing w:before="0" w:after="0" w:line="520" w:lineRule="exact"/>
        <w:rPr>
          <w:rFonts w:hint="eastAsia" w:eastAsia="宋体" w:cs="Arial"/>
          <w:bCs/>
          <w:color w:val="auto"/>
          <w:szCs w:val="22"/>
          <w:highlight w:val="none"/>
        </w:rPr>
      </w:pPr>
      <w:r/>
      <w:bookmarkStart w:id="87" w:name="_Toc959"/>
      <w:r/>
      <w:bookmarkStart w:id="88" w:name="_Toc20026"/>
      <w:r/>
      <w:bookmarkStart w:id="89" w:name="_Toc81575160"/>
      <w:r/>
      <w:bookmarkStart w:id="90" w:name="_Toc81575197"/>
      <w:r>
        <w:rPr>
          <w:rFonts w:hint="eastAsia" w:eastAsia="宋体" w:cs="Arial"/>
          <w:bCs/>
          <w:color w:val="auto"/>
          <w:szCs w:val="22"/>
          <w:highlight w:val="none"/>
        </w:rPr>
        <w:t xml:space="preserve">五、开标、评标程序</w:t>
      </w:r>
      <w:bookmarkEnd w:id="87"/>
      <w:r/>
      <w:bookmarkEnd w:id="88"/>
      <w:r/>
      <w:bookmarkEnd w:id="89"/>
      <w:r/>
      <w:bookmarkEnd w:id="90"/>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15、开标</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15.2开标仪式由采购代理机构组织。“苏采云”系统将自动对项目进行开标，并宣布各投标人名称和投标价格。</w:t>
      </w:r>
      <w:r/>
    </w:p>
    <w:p>
      <w:pPr>
        <w:ind w:firstLine="482"/>
        <w:spacing w:line="480" w:lineRule="exact"/>
        <w:rPr>
          <w:rFonts w:hint="eastAsia"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15.5投标人在开、评标全过程中应保持通讯畅通，及时登录“苏采云”系统查阅、答复相关信息。</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16、评标委员会</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17、评标程序</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17.1资格审查</w:t>
      </w:r>
      <w:bookmarkStart w:id="91" w:name="EBa9c0a2c9e523494487594c65b2a92370"/>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开标结束后，采购人依法根据招标文件的规定对投标人的资格证明文件等进行审查。</w:t>
      </w:r>
      <w:bookmarkEnd w:id="91"/>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17.2符合性检查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92" w:name="EB1499356fad43416eb16398733accabf7"/>
      <w:r>
        <w:rPr>
          <w:rFonts w:hint="eastAsia" w:ascii="Times New Roman" w:hAnsi="Times New Roman" w:cs="仿宋"/>
          <w:color w:val="auto"/>
          <w:sz w:val="24"/>
          <w:highlight w:val="none"/>
        </w:rPr>
        <w:t xml:space="preserve">所谓重大偏离是指投标人投标文件中所述设备质量、技术规格、数量、交货期、服务等明显不能满足招标文件要求。</w:t>
      </w:r>
      <w:bookmarkEnd w:id="92"/>
      <w:r>
        <w:rPr>
          <w:rFonts w:hint="eastAsia" w:ascii="Times New Roman" w:hAnsi="Times New Roman" w:cs="仿宋"/>
          <w:color w:val="auto"/>
          <w:sz w:val="24"/>
          <w:highlight w:val="none"/>
        </w:rPr>
        <w:t xml:space="preserve">重大偏离的认定需经过评标委员会以少数服从多数的原则作出结论。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17.5相同品牌产品投标</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17.6有关问题的澄清</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17.6.2投标文件报价出现前后不一致的，除招标文件另有规定外，按照下列规定修正：</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①投标文件中开标一览表（报价表）内容与投标文件中相应内容不一致的，以开标一览表（报价表）为准；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②大写金额和小写金额不一致的，以大写金额为准；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③单价金额小数点或者百分比有明显错位的，以开标一览表的总价为准，并修改单价；</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④总价金额与按单价汇总金额不一致的，以单价金额计算结果为准。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同时出现两种以上不一致的，按照前款规定的顺序修正。</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评标过程中，不得去掉报价中的最高报价和最低报价。</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17.7比较</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17.8推荐中标候选人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评标委员会按照招标文件中规定的评标方法和标准推荐中标候选人。</w:t>
      </w:r>
      <w:r/>
    </w:p>
    <w:p>
      <w:pPr>
        <w:pStyle w:val="716"/>
        <w:ind w:firstLine="321"/>
        <w:spacing w:before="0" w:after="0" w:line="480" w:lineRule="exact"/>
        <w:rPr>
          <w:rFonts w:hint="eastAsia" w:eastAsia="宋体" w:cs="Arial"/>
          <w:bCs/>
          <w:color w:val="auto"/>
          <w:szCs w:val="22"/>
          <w:highlight w:val="none"/>
        </w:rPr>
      </w:pPr>
      <w:r/>
      <w:bookmarkStart w:id="93" w:name="_Toc8712"/>
      <w:r/>
      <w:bookmarkStart w:id="94" w:name="_Toc81575159"/>
      <w:r/>
      <w:bookmarkStart w:id="95" w:name="_Toc81575196"/>
      <w:r/>
      <w:bookmarkStart w:id="96" w:name="_Toc8841"/>
      <w:r>
        <w:rPr>
          <w:rFonts w:hint="eastAsia" w:eastAsia="宋体" w:cs="Arial"/>
          <w:bCs/>
          <w:color w:val="auto"/>
          <w:szCs w:val="22"/>
          <w:highlight w:val="none"/>
        </w:rPr>
        <w:t xml:space="preserve">六、无效投标、废标、串通投标</w:t>
      </w:r>
      <w:bookmarkEnd w:id="93"/>
      <w:r/>
      <w:bookmarkEnd w:id="94"/>
      <w:r/>
      <w:bookmarkEnd w:id="95"/>
      <w:r/>
      <w:bookmarkEnd w:id="96"/>
      <w:r>
        <w:rPr>
          <w:rFonts w:hint="eastAsia" w:eastAsia="宋体" w:cs="Arial"/>
          <w:bCs/>
          <w:color w:val="auto"/>
          <w:szCs w:val="22"/>
          <w:highlight w:val="none"/>
        </w:rPr>
        <w:t xml:space="preserve">及取消中标候选人资格情形</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18、无效投标情形</w:t>
      </w:r>
      <w:r/>
    </w:p>
    <w:p>
      <w:pPr>
        <w:ind w:firstLine="480"/>
        <w:spacing w:line="480" w:lineRule="exact"/>
        <w:rPr>
          <w:rFonts w:hint="eastAsia" w:ascii="Times New Roman" w:hAnsi="Times New Roman" w:cs="仿宋"/>
          <w:strike/>
          <w:color w:val="auto"/>
          <w:sz w:val="24"/>
          <w:highlight w:val="none"/>
        </w:rPr>
      </w:pPr>
      <w:r>
        <w:rPr>
          <w:rFonts w:hint="eastAsia" w:ascii="Times New Roman" w:hAnsi="Times New Roman" w:cs="仿宋"/>
          <w:color w:val="auto"/>
          <w:sz w:val="24"/>
          <w:highlight w:val="none"/>
        </w:rPr>
        <w:t xml:space="preserve">18.1投标人同一采购包提交两个（含两个）以上不同的投标报价的。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18.2投标人不符合招标文件规定资格要求的或未按规定提交资质证件的。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18.3投标人的报价超过了采购预算或最高限价的。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18.4投标文件未通过符合性审查的。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18.5投标文件出现重大偏离，不符合招标文件中规定的实质性要求的（★部分为实质性要求）。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18.7投标文件未按照招标文件要求加盖CA电子公章的。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18.8投标人有本招标文件规定的恶意串通投标情形的。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18.9投标文件含有采购人不能接受的附加条件的。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18.10其他法律、法规及本招标文件规定的属无效投标的情形。</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19、废标情形</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19.1符合专业条件的投标人或者对招标文件作实质响应的投标人不足三家的。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19.2出现影响采购公正的违法、违规行为的。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19.3因重大变故，采购任务取消的。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19.4评标委员会认定招标文件存在歧义、重大缺陷导致评审工作无法进行的。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19.5在“苏采云”系统规定时间内成功解密电子投标文件的投标人不足3家的。</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20、投标人不足三家情形处理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21、串通投标情形</w:t>
      </w:r>
      <w:r/>
    </w:p>
    <w:p>
      <w:pPr>
        <w:ind w:firstLine="480"/>
        <w:spacing w:line="500" w:lineRule="exact"/>
        <w:rPr>
          <w:rFonts w:ascii="黑体" w:hAnsi="黑体" w:eastAsia="黑体"/>
          <w:color w:val="auto"/>
          <w:sz w:val="24"/>
          <w:highlight w:val="none"/>
        </w:rPr>
      </w:pPr>
      <w:r>
        <w:rPr>
          <w:rFonts w:hint="eastAsia" w:ascii="黑体" w:hAnsi="黑体" w:eastAsia="黑体"/>
          <w:color w:val="auto"/>
          <w:sz w:val="24"/>
          <w:highlight w:val="none"/>
        </w:rPr>
        <w:t xml:space="preserve">有下列情形之一的，属于恶意串通投标：</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21.1供应商直接或间接从采购人或采购代理机构处获得其他供应商的投标情况，并修改其投标文件；</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21.2评审活动开始前供应商直接或间接从采购人或采购代理机构处获得评标委员会组成人员情况；</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21.3供应商接受采购人或采购代理机构授意撤换、修改投标文件；</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21.4供应商之间协商投标报价、技术方案等投标文件实质性内容；</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21.5属于同一集团、协会、商会等组织成员的供应商按照该组织要求协同投标；</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21.6供应商之间事先约定由某一特定供应商中标、成交；</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21.7供应商之间商定部分供应商放弃投标或者放弃中标、成交；</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21.8供应商与采购人或采购代理机构之间、供应商相互之间为谋求特定供应商中标成交或者排斥其他供应商的其他串通行为；</w:t>
      </w:r>
      <w:r/>
    </w:p>
    <w:p>
      <w:pPr>
        <w:ind w:firstLine="482"/>
        <w:spacing w:line="500" w:lineRule="exact"/>
        <w:rPr>
          <w:rFonts w:ascii="黑体" w:hAnsi="黑体" w:eastAsia="黑体"/>
          <w:color w:val="auto"/>
          <w:sz w:val="24"/>
          <w:highlight w:val="none"/>
        </w:rPr>
      </w:pPr>
      <w:r>
        <w:rPr>
          <w:rFonts w:hint="eastAsia" w:ascii="黑体" w:hAnsi="黑体" w:eastAsia="黑体"/>
          <w:color w:val="auto"/>
          <w:sz w:val="24"/>
          <w:highlight w:val="none"/>
        </w:rPr>
        <w:t xml:space="preserve">有下列情形之一的，视为投标人串通投标，其投标无效：</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21.9不同投标人的投标文件由同一单位或者个人编制；</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21.10不同投标人委托同一单位或者个人办理投标事宜；</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21.11不同投标人的投标文件载明的项目管理成员或者联系人员为同一人；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21.12不同投标人的投标文件异常一致或者投标报价呈规律性差异；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21.13不同投标人的投标文件相互混装；</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21.14不同投标人的投标保证金从同一单位或者个人的账户转出。</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22、</w:t>
      </w:r>
      <w:bookmarkStart w:id="97" w:name="OLE_LINK4"/>
      <w:r>
        <w:rPr>
          <w:rFonts w:hint="eastAsia" w:ascii="Times New Roman" w:hAnsi="Times New Roman" w:cs="仿宋"/>
          <w:b/>
          <w:color w:val="auto"/>
          <w:sz w:val="24"/>
          <w:highlight w:val="none"/>
        </w:rPr>
        <w:t xml:space="preserve">取消中标候选人资格情形</w:t>
      </w:r>
      <w:bookmarkEnd w:id="97"/>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22.1提供虚假材料谋取中标的；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22.2采取不正当手段诋毁、排挤其他投标人的；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22.3与采购人、其他投标人或者采购代理机构恶意串通的；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22.4向采购人、采购代理机构行贿或者提供其他不正当利益的；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22.5未在规定时间内与采购人签订采购合同的；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22.6法律、法规规定的其它情况。</w:t>
      </w:r>
      <w:bookmarkStart w:id="98" w:name="_Toc6494"/>
      <w:r/>
      <w:bookmarkStart w:id="99" w:name="_Toc2391"/>
      <w:r/>
      <w:bookmarkStart w:id="100" w:name="_Toc81575198"/>
      <w:r/>
      <w:bookmarkStart w:id="101" w:name="_Toc81575161"/>
      <w:r/>
      <w:r/>
    </w:p>
    <w:p>
      <w:pPr>
        <w:ind w:firstLine="321"/>
        <w:spacing w:line="480" w:lineRule="exact"/>
        <w:rPr>
          <w:rFonts w:hint="eastAsia" w:ascii="Arial" w:hAnsi="Arial" w:eastAsia="宋体" w:cs="Arial"/>
          <w:b/>
          <w:bCs/>
          <w:color w:val="auto"/>
          <w:sz w:val="32"/>
          <w:szCs w:val="22"/>
          <w:highlight w:val="none"/>
          <w:lang w:val="en-US" w:eastAsia="zh-CN" w:bidi="ar-SA"/>
        </w:rPr>
        <w:outlineLvl w:val="1"/>
      </w:pPr>
      <w:r>
        <w:rPr>
          <w:rFonts w:hint="eastAsia" w:ascii="Arial" w:hAnsi="Arial" w:eastAsia="宋体" w:cs="Arial"/>
          <w:b/>
          <w:bCs/>
          <w:color w:val="auto"/>
          <w:sz w:val="32"/>
          <w:szCs w:val="22"/>
          <w:highlight w:val="none"/>
          <w:lang w:val="en-US" w:eastAsia="zh-CN" w:bidi="ar-SA"/>
        </w:rPr>
        <w:t xml:space="preserve">七、中标及合同签订</w:t>
      </w:r>
      <w:bookmarkEnd w:id="98"/>
      <w:r/>
      <w:bookmarkEnd w:id="99"/>
      <w:r/>
      <w:bookmarkEnd w:id="100"/>
      <w:r/>
      <w:bookmarkEnd w:id="101"/>
      <w:r/>
      <w:r/>
    </w:p>
    <w:p>
      <w:pPr>
        <w:ind w:firstLine="482"/>
        <w:spacing w:line="50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23、确定中标人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23.1采购人应当自收到评审报告之日起5个工作日内在评审报告推荐的中标候选人中按顺序确定中标人。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23.2中标人确定之日起2个工作日内，采购人、采购代理机构将发布中标结果，中标公告的公告期限为1个工作日。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23.3采购人确定正被列为失信被执行人的投标人为中标人的，中标结果无效。</w:t>
      </w:r>
      <w:r/>
    </w:p>
    <w:p>
      <w:pPr>
        <w:ind w:firstLine="482"/>
        <w:spacing w:line="50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24、中标通知书</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24.1在公告中标结果的同时，采购代理机构将向中标人发出中标通知书。中标人使用CA数字证书登录“苏采云”系统及时下载中标通知书。</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24.2中标通知书发出后，采购人改变中标结果的，或者中标人放弃中标项目的，应当依法承担法律责任。</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24.3采用综合评分法评审的，未中标人可于中标结果公告期限届满之日起通过“苏采云”系统查看</w:t>
      </w:r>
      <w:bookmarkStart w:id="102" w:name="OLE_LINK5"/>
      <w:r>
        <w:rPr>
          <w:rFonts w:hint="eastAsia" w:ascii="Times New Roman" w:hAnsi="Times New Roman" w:cs="仿宋"/>
          <w:color w:val="auto"/>
          <w:sz w:val="24"/>
          <w:highlight w:val="none"/>
        </w:rPr>
        <w:t xml:space="preserve">自己的评审得分及排序情况。</w:t>
      </w:r>
      <w:bookmarkEnd w:id="102"/>
      <w:r/>
      <w:r/>
    </w:p>
    <w:p>
      <w:pPr>
        <w:ind w:firstLine="482"/>
        <w:spacing w:line="50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25、授予合同</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25.2采购人在自合同签订之日起2个工作日内，将合同在指定的媒体上公告。</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26、履约保证金</w:t>
      </w:r>
      <w:r/>
    </w:p>
    <w:p>
      <w:pPr>
        <w:ind w:firstLine="480"/>
        <w:spacing w:line="480" w:lineRule="exact"/>
        <w:rPr>
          <w:rFonts w:hint="eastAsia" w:ascii="Times New Roman" w:hAnsi="Times New Roman" w:cs="仿宋"/>
          <w:color w:val="auto"/>
          <w:sz w:val="24"/>
          <w:highlight w:val="none"/>
          <w:lang w:val="zh-CN"/>
        </w:rPr>
      </w:pPr>
      <w:r>
        <w:rPr>
          <w:rFonts w:hint="eastAsia" w:ascii="Times New Roman" w:hAnsi="Times New Roman" w:cs="仿宋"/>
          <w:color w:val="auto"/>
          <w:sz w:val="24"/>
          <w:highlight w:val="none"/>
          <w:lang w:val="zh-CN"/>
        </w:rPr>
        <w:t xml:space="preserve">按照以下第</w:t>
      </w:r>
      <w:r>
        <w:rPr>
          <w:rFonts w:hint="eastAsia" w:ascii="Times New Roman" w:hAnsi="Times New Roman" w:cs="仿宋"/>
          <w:color w:val="auto"/>
          <w:sz w:val="24"/>
          <w:highlight w:val="none"/>
          <w:u w:val="single"/>
        </w:rPr>
        <w:t xml:space="preserve">（</w:t>
      </w:r>
      <w:r>
        <w:rPr>
          <w:rFonts w:hint="eastAsia" w:ascii="Times New Roman" w:hAnsi="Times New Roman" w:cs="仿宋"/>
          <w:color w:val="auto"/>
          <w:sz w:val="24"/>
          <w:highlight w:val="none"/>
          <w:u w:val="single"/>
          <w:lang w:val="en-US" w:eastAsia="zh-CN"/>
        </w:rPr>
        <w:t xml:space="preserve">2</w:t>
      </w:r>
      <w:r>
        <w:rPr>
          <w:rFonts w:hint="eastAsia" w:ascii="Times New Roman" w:hAnsi="Times New Roman" w:cs="仿宋"/>
          <w:color w:val="auto"/>
          <w:sz w:val="24"/>
          <w:highlight w:val="none"/>
          <w:u w:val="single"/>
        </w:rPr>
        <w:t xml:space="preserve">）</w:t>
      </w:r>
      <w:r>
        <w:rPr>
          <w:rFonts w:hint="eastAsia" w:ascii="Times New Roman" w:hAnsi="Times New Roman" w:cs="仿宋"/>
          <w:color w:val="auto"/>
          <w:sz w:val="24"/>
          <w:highlight w:val="none"/>
          <w:lang w:val="zh-CN"/>
        </w:rPr>
        <w:t xml:space="preserve">方式确定履约保证</w:t>
      </w:r>
      <w:r>
        <w:rPr>
          <w:rFonts w:hint="eastAsia" w:ascii="Times New Roman" w:hAnsi="Times New Roman" w:cs="仿宋"/>
          <w:color w:val="auto"/>
          <w:sz w:val="24"/>
          <w:highlight w:val="none"/>
        </w:rPr>
        <w:t xml:space="preserve">金</w:t>
      </w:r>
      <w:r>
        <w:rPr>
          <w:rFonts w:hint="eastAsia" w:ascii="Times New Roman" w:hAnsi="Times New Roman" w:cs="仿宋"/>
          <w:color w:val="auto"/>
          <w:sz w:val="24"/>
          <w:highlight w:val="none"/>
          <w:lang w:val="zh-CN"/>
        </w:rPr>
        <w:t xml:space="preserve">收取方式。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（1）本项目不收取履约保证金。</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（2）本项目收取履约保证金。</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26.1履约保证金提交形式</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26.2履约保证金提交金额</w:t>
      </w:r>
      <w:r/>
    </w:p>
    <w:p>
      <w:pPr>
        <w:ind w:firstLine="480"/>
        <w:keepLines w:val="0"/>
        <w:keepNext w:val="0"/>
        <w:pageBreakBefore w:val="0"/>
        <w:spacing w:line="560" w:lineRule="exact"/>
        <w:widowControl w:val="off"/>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按采购合同总价的</w:t>
      </w:r>
      <w:r>
        <w:rPr>
          <w:rFonts w:hint="eastAsia" w:ascii="Times New Roman" w:hAnsi="Times New Roman" w:cs="仿宋"/>
          <w:color w:val="auto"/>
          <w:sz w:val="24"/>
          <w:highlight w:val="none"/>
          <w:u w:val="single"/>
        </w:rPr>
        <w:t xml:space="preserve"> </w:t>
      </w:r>
      <w:r>
        <w:rPr>
          <w:rFonts w:hint="eastAsia" w:ascii="Times New Roman" w:hAnsi="Times New Roman" w:cs="仿宋"/>
          <w:color w:val="auto"/>
          <w:sz w:val="24"/>
          <w:highlight w:val="none"/>
          <w:u w:val="single"/>
          <w:lang w:val="en-US" w:eastAsia="zh-CN"/>
        </w:rPr>
        <w:t xml:space="preserve">5</w:t>
      </w:r>
      <w:r>
        <w:rPr>
          <w:rFonts w:hint="eastAsia" w:ascii="Times New Roman" w:hAnsi="Times New Roman" w:cs="仿宋"/>
          <w:color w:val="auto"/>
          <w:sz w:val="24"/>
          <w:highlight w:val="none"/>
          <w:u w:val="single"/>
        </w:rPr>
        <w:t xml:space="preserve"> </w:t>
      </w:r>
      <w:r>
        <w:rPr>
          <w:rFonts w:hint="eastAsia" w:ascii="Times New Roman" w:hAnsi="Times New Roman" w:cs="仿宋"/>
          <w:color w:val="auto"/>
          <w:sz w:val="24"/>
          <w:highlight w:val="none"/>
        </w:rPr>
        <w:t xml:space="preserve">%提交。</w:t>
      </w:r>
      <w:r/>
    </w:p>
    <w:p>
      <w:pPr>
        <w:pStyle w:val="694"/>
        <w:ind w:firstLine="480"/>
        <w:jc w:val="both"/>
        <w:keepLines w:val="0"/>
        <w:keepNext w:val="0"/>
        <w:pageBreakBefore w:val="0"/>
        <w:spacing w:before="0" w:beforeAutospacing="0" w:after="0" w:afterAutospacing="0" w:line="560" w:lineRule="exact"/>
        <w:widowControl w:val="off"/>
        <w:rPr>
          <w:rFonts w:hint="eastAsia" w:ascii="Times New Roman" w:hAnsi="Times New Roman" w:eastAsia="宋体" w:cs="仿宋"/>
          <w:b/>
          <w:bCs/>
          <w:color w:val="auto"/>
          <w:sz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仿宋"/>
          <w:color w:val="auto"/>
          <w:sz w:val="24"/>
          <w:highlight w:val="none"/>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eastAsia="宋体" w:cs="仿宋"/>
          <w:color w:val="auto"/>
          <w:sz w:val="24"/>
          <w:highlight w:val="none"/>
          <w:u w:val="single"/>
        </w:rPr>
        <w:t xml:space="preserve"> </w:t>
      </w:r>
      <w:r>
        <w:rPr>
          <w:rFonts w:hint="eastAsia" w:ascii="Times New Roman" w:hAnsi="Times New Roman" w:cs="仿宋"/>
          <w:color w:val="auto"/>
          <w:sz w:val="24"/>
          <w:highlight w:val="none"/>
          <w:u w:val="single"/>
          <w:lang w:val="en-US" w:eastAsia="zh-CN"/>
        </w:rPr>
        <w:t xml:space="preserve">3 </w:t>
      </w:r>
      <w:r>
        <w:rPr>
          <w:rFonts w:hint="eastAsia" w:ascii="Times New Roman" w:hAnsi="Times New Roman" w:eastAsia="宋体" w:cs="仿宋"/>
          <w:color w:val="auto"/>
          <w:sz w:val="24"/>
          <w:highlight w:val="none"/>
        </w:rPr>
        <w:t xml:space="preserve"> %（履约保证金原提交金额的6折）提交。办理流程、偿付等内容见江苏政府采购网“保险保函”模块。</w:t>
      </w:r>
      <w:r>
        <w:rPr>
          <w:rFonts w:hint="eastAsia" w:ascii="Times New Roman" w:hAnsi="Times New Roman" w:eastAsia="宋体" w:cs="Times New Roman"/>
          <w:b/>
          <w:bCs/>
          <w:color w:val="auto"/>
          <w:sz w:val="24"/>
          <w:szCs w:val="24"/>
          <w:highlight w:val="none"/>
          <w:lang w:val="en-US" w:eastAsia="zh-CN" w:bidi="ar-SA"/>
        </w:rPr>
        <w:t xml:space="preserve">供应商也可选用数字人民币方式缴纳</w:t>
      </w:r>
      <w:r>
        <w:rPr>
          <w:rFonts w:hint="eastAsia" w:ascii="Times New Roman" w:hAnsi="Times New Roman" w:cs="Times New Roman"/>
          <w:b/>
          <w:bCs/>
          <w:color w:val="auto"/>
          <w:sz w:val="24"/>
          <w:szCs w:val="24"/>
          <w:highlight w:val="none"/>
          <w:lang w:val="en-US" w:eastAsia="zh-CN" w:bidi="ar-SA"/>
        </w:rPr>
        <w:t xml:space="preserve">。</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26.3履约保证金退还方式</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26.4履约保证金退还条件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具有验收合格相关证明材料。</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26.5履约保证金退还时间</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采购人收到投标人退付申请后5个工作日内退还。</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26.6履约保证金不予退还情形</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26.7逾期退还履约保证金违约责任</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ascii="Times New Roman" w:hAnsi="Times New Roman" w:cs="仿宋"/>
          <w:b/>
          <w:bCs/>
          <w:color w:val="auto"/>
          <w:sz w:val="24"/>
          <w:szCs w:val="24"/>
          <w:highlight w:val="none"/>
        </w:rPr>
      </w:pPr>
      <w:r>
        <w:rPr>
          <w:rFonts w:hint="eastAsia" w:ascii="Times New Roman" w:hAnsi="Times New Roman" w:cs="仿宋"/>
          <w:b/>
          <w:color w:val="auto"/>
          <w:sz w:val="24"/>
          <w:highlight w:val="none"/>
        </w:rPr>
        <w:t xml:space="preserve">27、线上融资</w:t>
      </w:r>
      <w:r/>
    </w:p>
    <w:p>
      <w:pPr>
        <w:ind w:firstLine="480"/>
        <w:spacing w:line="480" w:lineRule="exact"/>
        <w:rPr>
          <w:rFonts w:hint="eastAsia" w:ascii="Times New Roman" w:hAnsi="Times New Roman" w:cs="仿宋"/>
          <w:b/>
          <w:bCs/>
          <w:color w:val="auto"/>
          <w:sz w:val="24"/>
          <w:szCs w:val="24"/>
          <w:highlight w:val="none"/>
        </w:rPr>
      </w:pPr>
      <w:r>
        <w:rPr>
          <w:rFonts w:hint="eastAsia" w:ascii="宋体" w:hAnsi="宋体"/>
          <w:bCs/>
          <w:color w:val="auto"/>
          <w:sz w:val="24"/>
          <w:szCs w:val="24"/>
          <w:highlight w:val="none"/>
        </w:rPr>
        <w:t xml:space="preserve">中标人可凭政府采购合同办理融资贷款，详情见江苏政府采购网“政采贷”专栏。</w:t>
      </w:r>
      <w:r/>
    </w:p>
    <w:p>
      <w:pPr>
        <w:ind w:firstLine="482"/>
        <w:spacing w:line="480" w:lineRule="exact"/>
        <w:rPr>
          <w:rFonts w:hint="eastAsia" w:ascii="Times New Roman" w:hAnsi="Times New Roman" w:cs="仿宋"/>
          <w:color w:val="auto"/>
          <w:sz w:val="24"/>
          <w:highlight w:val="none"/>
        </w:rPr>
      </w:pPr>
      <w:r>
        <w:rPr>
          <w:rFonts w:hint="eastAsia" w:ascii="Times New Roman" w:hAnsi="Times New Roman" w:cs="仿宋"/>
          <w:b/>
          <w:color w:val="auto"/>
          <w:sz w:val="24"/>
          <w:highlight w:val="none"/>
        </w:rPr>
        <w:t xml:space="preserve">28、合同履行</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28.1政府采购合同订立后，合同各方不得擅自变更、中止或者终止合同。</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716"/>
        <w:spacing w:before="0" w:after="0" w:line="520" w:lineRule="exact"/>
        <w:rPr>
          <w:rFonts w:hint="eastAsia" w:eastAsia="宋体" w:cs="Arial"/>
          <w:bCs/>
          <w:color w:val="auto"/>
          <w:szCs w:val="22"/>
          <w:highlight w:val="none"/>
        </w:rPr>
      </w:pPr>
      <w:r/>
      <w:bookmarkStart w:id="103" w:name="_Toc81575199"/>
      <w:r/>
      <w:bookmarkStart w:id="104" w:name="_Toc22084"/>
      <w:r/>
      <w:bookmarkStart w:id="105" w:name="_Toc81575162"/>
      <w:r/>
      <w:bookmarkStart w:id="106" w:name="_Toc7550"/>
      <w:r>
        <w:rPr>
          <w:rFonts w:hint="eastAsia" w:eastAsia="宋体" w:cs="Arial"/>
          <w:bCs/>
          <w:color w:val="auto"/>
          <w:szCs w:val="22"/>
          <w:highlight w:val="none"/>
        </w:rPr>
        <w:t xml:space="preserve">八、</w:t>
      </w:r>
      <w:bookmarkEnd w:id="103"/>
      <w:r/>
      <w:bookmarkEnd w:id="104"/>
      <w:r/>
      <w:bookmarkEnd w:id="105"/>
      <w:r/>
      <w:bookmarkEnd w:id="106"/>
      <w:r/>
      <w:bookmarkStart w:id="107" w:name="_Toc81575200"/>
      <w:r/>
      <w:bookmarkStart w:id="108" w:name="_Toc12263"/>
      <w:r/>
      <w:bookmarkStart w:id="109" w:name="_Toc31888"/>
      <w:r/>
      <w:bookmarkStart w:id="110" w:name="_Toc81575163"/>
      <w:r>
        <w:rPr>
          <w:rFonts w:hint="eastAsia" w:eastAsia="宋体" w:cs="Arial"/>
          <w:bCs/>
          <w:color w:val="auto"/>
          <w:szCs w:val="22"/>
          <w:highlight w:val="none"/>
        </w:rPr>
        <w:t xml:space="preserve">质疑与投诉</w:t>
      </w:r>
      <w:bookmarkEnd w:id="107"/>
      <w:r/>
      <w:bookmarkEnd w:id="108"/>
      <w:r/>
      <w:bookmarkEnd w:id="109"/>
      <w:r/>
      <w:bookmarkEnd w:id="110"/>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29、质疑</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29.1供应商认为采购文件、采购过程和中标结果使自己的权益受到损害的，可以在知道或者应知其权益受到损害之日起七个工作日内，</w:t>
      </w:r>
      <w:r>
        <w:rPr>
          <w:rFonts w:hint="eastAsia" w:ascii="仿宋" w:hAnsi="仿宋" w:eastAsia="仿宋" w:cs="仿宋"/>
          <w:b/>
          <w:color w:val="000000"/>
          <w:sz w:val="24"/>
          <w:lang w:val="en-US" w:eastAsia="zh-CN"/>
        </w:rPr>
        <w:t xml:space="preserve">以书面形式</w:t>
      </w:r>
      <w:r>
        <w:rPr>
          <w:rFonts w:ascii="仿宋" w:hAnsi="仿宋" w:eastAsia="仿宋" w:cs="仿宋"/>
          <w:b/>
          <w:color w:val="000000"/>
          <w:sz w:val="24"/>
        </w:rPr>
        <w:t xml:space="preserve">提出质疑</w:t>
      </w:r>
      <w:r>
        <w:rPr>
          <w:rFonts w:hint="eastAsia" w:ascii="仿宋" w:hAnsi="仿宋" w:eastAsia="仿宋" w:cs="仿宋"/>
          <w:b/>
          <w:color w:val="000000"/>
          <w:sz w:val="24"/>
          <w:lang w:eastAsia="zh-CN"/>
        </w:rPr>
        <w:t xml:space="preserve">，</w:t>
      </w:r>
      <w:r>
        <w:rPr>
          <w:rFonts w:hint="eastAsia" w:ascii="仿宋" w:hAnsi="仿宋" w:eastAsia="仿宋" w:cs="仿宋"/>
          <w:b/>
          <w:color w:val="000000"/>
          <w:sz w:val="24"/>
          <w:lang w:val="en-US" w:eastAsia="zh-CN"/>
        </w:rPr>
        <w:t xml:space="preserve">现场递交或邮寄至采购人处</w:t>
      </w:r>
      <w:r>
        <w:rPr>
          <w:rFonts w:hint="eastAsia" w:ascii="Times New Roman" w:hAnsi="Times New Roman" w:cs="仿宋"/>
          <w:b/>
          <w:bCs/>
          <w:color w:val="auto"/>
          <w:sz w:val="24"/>
          <w:highlight w:val="none"/>
        </w:rPr>
        <w:t xml:space="preserve">。</w:t>
      </w:r>
      <w:bookmarkStart w:id="111" w:name="OLE_LINK1"/>
      <w:r>
        <w:rPr>
          <w:rFonts w:hint="eastAsia" w:ascii="Times New Roman" w:hAnsi="Times New Roman" w:cs="仿宋"/>
          <w:color w:val="auto"/>
          <w:sz w:val="24"/>
          <w:highlight w:val="none"/>
        </w:rPr>
        <w:t xml:space="preserve">质疑联系部门、联系电话、通讯地址详见采购公告。</w:t>
      </w:r>
      <w:bookmarkEnd w:id="111"/>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29.2供应商应知其权益受到损害之日，是指：</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（1）对本项目采购文件提出质疑的，为获取采购文件之日或者采购文件公告期限届满之日；</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（2）对本项目采购过程提出质疑的，为各采购程序环节结束之日；</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（3）对本项目中标结果提出质疑的，为中标结果公告期限届满之日。</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29.4供应商提出质疑应当提交质疑函和必要的证明材料。质疑函的必备内容：</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（1）供应商的姓名或者名称、地址、邮编、联系人及联系电话；</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（2）质疑项目的名称、编号；</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（3）获取采购文件的时间；</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（4）具体、明确的质疑事项和质疑事项相关的请求；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（5）事实依据；</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（6）必要的法律依据；</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（7）提出质疑的日期；</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29.5采购人在收到质疑函后7个工作日内作出答复，并以书面形式通知质疑供应商和其他有关供应商，但质疑答复的内容不涉及商业秘密。</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30、投诉</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质疑供应商对答复不满意或采购人、采购代理机构未在规定时间内作出答复的，可在答复期满后15个工作日内向同级财政部门提起投诉。</w:t>
      </w:r>
      <w:r/>
    </w:p>
    <w:p>
      <w:pPr>
        <w:pStyle w:val="715"/>
        <w:jc w:val="center"/>
        <w:spacing w:before="200"/>
        <w:rPr>
          <w:color w:val="auto"/>
          <w:highlight w:val="none"/>
        </w:rPr>
      </w:pPr>
      <w:r/>
      <w:bookmarkStart w:id="112" w:name="EB4d341233595e4bf8ad7006b4bd78d974"/>
      <w:r/>
      <w:bookmarkEnd w:id="112"/>
      <w:r/>
      <w:bookmarkStart w:id="113" w:name="_Toc81575201"/>
      <w:r/>
      <w:bookmarkStart w:id="114" w:name="_Toc81575164"/>
      <w:r/>
      <w:bookmarkStart w:id="115" w:name="_Hlk166141273"/>
      <w:r>
        <w:rPr>
          <w:rFonts w:hint="eastAsia"/>
          <w:color w:val="auto"/>
          <w:highlight w:val="none"/>
        </w:rPr>
        <w:br w:type="page" w:clear="all"/>
      </w:r>
      <w:bookmarkStart w:id="116" w:name="_Toc17996"/>
      <w:r>
        <w:rPr>
          <w:rFonts w:hint="eastAsia" w:ascii="Calibri" w:hAnsi="Calibri" w:eastAsia="宋体" w:cs="Times New Roman"/>
          <w:b/>
          <w:color w:val="auto"/>
          <w:sz w:val="44"/>
          <w:szCs w:val="44"/>
          <w:highlight w:val="none"/>
        </w:rPr>
        <w:t xml:space="preserve">第三章  资格审查及评标</w:t>
      </w:r>
      <w:bookmarkEnd w:id="113"/>
      <w:r/>
      <w:bookmarkEnd w:id="114"/>
      <w:r/>
      <w:bookmarkEnd w:id="116"/>
      <w:r>
        <w:rPr>
          <w:rFonts w:hint="eastAsia" w:ascii="Calibri" w:hAnsi="Calibri" w:eastAsia="宋体" w:cs="Times New Roman"/>
          <w:b/>
          <w:color w:val="auto"/>
          <w:sz w:val="44"/>
          <w:szCs w:val="44"/>
          <w:highlight w:val="none"/>
        </w:rPr>
        <w:t xml:space="preserve">方法</w:t>
      </w:r>
      <w:r/>
    </w:p>
    <w:p>
      <w:pPr>
        <w:ind w:firstLine="482"/>
        <w:jc w:val="left"/>
        <w:spacing w:line="480" w:lineRule="exac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一、资格审查</w:t>
      </w:r>
      <w:r/>
    </w:p>
    <w:p>
      <w:pPr>
        <w:ind w:firstLine="480"/>
        <w:jc w:val="left"/>
        <w:spacing w:line="480" w:lineRule="exact"/>
        <w:rPr>
          <w:rFonts w:hint="eastAsia" w:ascii="Times New Roman" w:hAnsi="Times New Roman" w:cs="仿宋"/>
          <w:color w:val="auto"/>
          <w:sz w:val="24"/>
          <w:highlight w:val="none"/>
        </w:rPr>
      </w:pPr>
      <w:r>
        <w:rPr>
          <w:rFonts w:hint="eastAsia"/>
          <w:color w:val="auto"/>
          <w:sz w:val="24"/>
          <w:szCs w:val="28"/>
          <w:highlight w:val="none"/>
        </w:rPr>
        <w:t xml:space="preserve">资格审查人员按照下列指标对各投标人的资格进行审查，未通过审查的为无效标，不参与评标。</w:t>
      </w:r>
      <w:r/>
    </w:p>
    <w:tbl>
      <w:tblPr>
        <w:tblStyle w:val="673"/>
        <w:tblW w:w="8668" w:type="dxa"/>
        <w:jc w:val="center"/>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jc w:val="center"/>
        </w:trPr>
        <w:tc>
          <w:tcPr>
            <w:tcBorders>
              <w:top w:val="single" w:color="000000" w:sz="4" w:space="0"/>
              <w:left w:val="single" w:color="000000" w:sz="4" w:space="0"/>
              <w:bottom w:val="single" w:color="000000" w:sz="4" w:space="0"/>
              <w:right w:val="single" w:color="000000" w:sz="4" w:space="0"/>
            </w:tcBorders>
            <w:tcW w:w="4422" w:type="dxa"/>
            <w:vAlign w:val="center"/>
            <w:textDirection w:val="lrTb"/>
            <w:noWrap w:val="false"/>
          </w:tcPr>
          <w:p>
            <w:pPr>
              <w:ind w:firstLine="480"/>
              <w:jc w:val="left"/>
              <w:spacing w:line="480" w:lineRule="exact"/>
              <w:rPr>
                <w:rFonts w:hint="eastAsia"/>
                <w:color w:val="auto"/>
                <w:sz w:val="24"/>
                <w:szCs w:val="28"/>
                <w:highlight w:val="none"/>
              </w:rPr>
            </w:pPr>
            <w:r>
              <w:rPr>
                <w:rFonts w:hint="eastAsia"/>
                <w:color w:val="auto"/>
                <w:sz w:val="24"/>
                <w:szCs w:val="28"/>
                <w:highlight w:val="none"/>
              </w:rPr>
              <w:t xml:space="preserve">资格审查因素</w:t>
            </w:r>
            <w:r/>
          </w:p>
        </w:tc>
        <w:tc>
          <w:tcPr>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ind w:firstLine="480"/>
              <w:jc w:val="left"/>
              <w:spacing w:line="480" w:lineRule="exact"/>
              <w:rPr>
                <w:rFonts w:hint="eastAsia"/>
                <w:color w:val="auto"/>
                <w:sz w:val="24"/>
                <w:szCs w:val="28"/>
                <w:highlight w:val="none"/>
              </w:rPr>
            </w:pPr>
            <w:r>
              <w:rPr>
                <w:rFonts w:hint="eastAsia"/>
                <w:color w:val="auto"/>
                <w:sz w:val="24"/>
                <w:szCs w:val="28"/>
                <w:highlight w:val="none"/>
              </w:rPr>
              <w:t xml:space="preserve">审查标准</w:t>
            </w:r>
            <w:r/>
          </w:p>
        </w:tc>
      </w:tr>
      <w:tr>
        <w:trPr>
          <w:jc w:val="center"/>
        </w:trPr>
        <w:tc>
          <w:tcPr>
            <w:tcBorders>
              <w:top w:val="single" w:color="000000" w:sz="4" w:space="0"/>
              <w:left w:val="single" w:color="000000" w:sz="4" w:space="0"/>
              <w:bottom w:val="single" w:color="000000" w:sz="4" w:space="0"/>
              <w:right w:val="single" w:color="000000" w:sz="4" w:space="0"/>
            </w:tcBorders>
            <w:tcW w:w="4422" w:type="dxa"/>
            <w:vAlign w:val="center"/>
            <w:textDirection w:val="lrTb"/>
            <w:noWrap w:val="false"/>
          </w:tcPr>
          <w:p>
            <w:pPr>
              <w:ind w:firstLine="480"/>
              <w:jc w:val="left"/>
              <w:spacing w:line="480" w:lineRule="exact"/>
              <w:rPr>
                <w:rFonts w:hint="eastAsia"/>
                <w:color w:val="auto"/>
                <w:sz w:val="24"/>
                <w:szCs w:val="28"/>
                <w:highlight w:val="none"/>
              </w:rPr>
            </w:pPr>
            <w:r>
              <w:rPr>
                <w:rFonts w:hint="eastAsia"/>
                <w:color w:val="auto"/>
                <w:sz w:val="24"/>
                <w:szCs w:val="28"/>
                <w:highlight w:val="none"/>
              </w:rPr>
              <w:t xml:space="preserve">投标声明及承诺函</w:t>
            </w:r>
            <w:r/>
          </w:p>
        </w:tc>
        <w:tc>
          <w:tcPr>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ind w:firstLine="480"/>
              <w:jc w:val="left"/>
              <w:spacing w:line="480" w:lineRule="exact"/>
              <w:rPr>
                <w:rFonts w:hint="eastAsia"/>
                <w:color w:val="auto"/>
                <w:sz w:val="24"/>
                <w:szCs w:val="28"/>
                <w:highlight w:val="none"/>
              </w:rPr>
            </w:pPr>
            <w:r>
              <w:rPr>
                <w:rFonts w:hint="eastAsia"/>
                <w:color w:val="auto"/>
                <w:sz w:val="24"/>
                <w:szCs w:val="28"/>
                <w:highlight w:val="none"/>
              </w:rPr>
              <w:t xml:space="preserve">符合招标文件要求</w:t>
            </w:r>
            <w:r/>
          </w:p>
        </w:tc>
      </w:tr>
      <w:tr>
        <w:trPr>
          <w:jc w:val="center"/>
        </w:trPr>
        <w:tc>
          <w:tcPr>
            <w:tcBorders>
              <w:top w:val="single" w:color="000000" w:sz="4" w:space="0"/>
              <w:left w:val="single" w:color="000000" w:sz="4" w:space="0"/>
              <w:bottom w:val="single" w:color="000000" w:sz="4" w:space="0"/>
              <w:right w:val="single" w:color="000000" w:sz="4" w:space="0"/>
            </w:tcBorders>
            <w:tcW w:w="4422" w:type="dxa"/>
            <w:vAlign w:val="center"/>
            <w:textDirection w:val="lrTb"/>
            <w:noWrap w:val="false"/>
          </w:tcPr>
          <w:p>
            <w:pPr>
              <w:ind w:firstLine="480"/>
              <w:jc w:val="left"/>
              <w:spacing w:line="480" w:lineRule="exact"/>
              <w:rPr>
                <w:rFonts w:hint="eastAsia"/>
                <w:color w:val="auto"/>
                <w:sz w:val="24"/>
                <w:szCs w:val="28"/>
                <w:highlight w:val="none"/>
              </w:rPr>
            </w:pPr>
            <w:r>
              <w:rPr>
                <w:rFonts w:hint="eastAsia"/>
                <w:color w:val="auto"/>
                <w:sz w:val="24"/>
                <w:szCs w:val="28"/>
                <w:highlight w:val="none"/>
              </w:rPr>
              <w:t xml:space="preserve">信用信息</w:t>
            </w:r>
            <w:r/>
          </w:p>
        </w:tc>
        <w:tc>
          <w:tcPr>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ind w:firstLine="480"/>
              <w:jc w:val="left"/>
              <w:spacing w:line="480" w:lineRule="exact"/>
              <w:rPr>
                <w:rFonts w:hint="eastAsia"/>
                <w:color w:val="auto"/>
                <w:sz w:val="24"/>
                <w:szCs w:val="28"/>
                <w:highlight w:val="none"/>
              </w:rPr>
            </w:pPr>
            <w:r>
              <w:rPr>
                <w:rFonts w:hint="eastAsia"/>
                <w:color w:val="auto"/>
                <w:sz w:val="24"/>
                <w:szCs w:val="28"/>
                <w:highlight w:val="none"/>
              </w:rPr>
              <w:t xml:space="preserve">符合招标文件要求</w:t>
            </w:r>
            <w:r/>
          </w:p>
        </w:tc>
      </w:tr>
      <w:tr>
        <w:trPr>
          <w:jc w:val="center"/>
          <w:trHeight w:val="452"/>
        </w:trPr>
        <w:tc>
          <w:tcPr>
            <w:tcBorders>
              <w:top w:val="single" w:color="000000" w:sz="4" w:space="0"/>
              <w:left w:val="single" w:color="000000" w:sz="4" w:space="0"/>
              <w:bottom w:val="single" w:color="000000" w:sz="4" w:space="0"/>
              <w:right w:val="single" w:color="000000" w:sz="4" w:space="0"/>
            </w:tcBorders>
            <w:tcW w:w="4422" w:type="dxa"/>
            <w:vAlign w:val="center"/>
            <w:textDirection w:val="lrTb"/>
            <w:noWrap w:val="false"/>
          </w:tcPr>
          <w:p>
            <w:pPr>
              <w:ind w:firstLine="480"/>
              <w:jc w:val="left"/>
              <w:spacing w:line="480" w:lineRule="exact"/>
              <w:rPr>
                <w:rFonts w:hint="eastAsia"/>
                <w:color w:val="auto"/>
                <w:sz w:val="24"/>
                <w:szCs w:val="28"/>
                <w:highlight w:val="none"/>
              </w:rPr>
            </w:pPr>
            <w:r>
              <w:rPr>
                <w:rFonts w:hint="eastAsia"/>
                <w:color w:val="auto"/>
                <w:sz w:val="24"/>
                <w:szCs w:val="28"/>
                <w:highlight w:val="none"/>
              </w:rPr>
              <w:t xml:space="preserve">特定资格要求</w:t>
            </w:r>
            <w:r/>
          </w:p>
        </w:tc>
        <w:tc>
          <w:tcPr>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ind w:firstLine="480"/>
              <w:jc w:val="left"/>
              <w:spacing w:line="480" w:lineRule="exact"/>
              <w:rPr>
                <w:rFonts w:hint="eastAsia"/>
                <w:color w:val="auto"/>
                <w:sz w:val="24"/>
                <w:szCs w:val="28"/>
                <w:highlight w:val="none"/>
              </w:rPr>
            </w:pPr>
            <w:r>
              <w:rPr>
                <w:rFonts w:hint="eastAsia"/>
                <w:color w:val="auto"/>
                <w:sz w:val="24"/>
                <w:szCs w:val="28"/>
                <w:highlight w:val="none"/>
              </w:rPr>
              <w:t xml:space="preserve">符合招标文件要求</w:t>
            </w:r>
            <w:r/>
          </w:p>
        </w:tc>
      </w:tr>
    </w:tbl>
    <w:p>
      <w:pPr>
        <w:ind w:firstLine="482"/>
        <w:jc w:val="left"/>
        <w:spacing w:line="480" w:lineRule="exac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二、符合性审查</w:t>
      </w:r>
      <w:r/>
    </w:p>
    <w:p>
      <w:pPr>
        <w:ind w:firstLine="480"/>
        <w:jc w:val="left"/>
        <w:spacing w:line="480" w:lineRule="exact"/>
        <w:rPr>
          <w:rFonts w:ascii="方正仿宋_GBK" w:eastAsia="方正仿宋_GBK"/>
          <w:color w:val="auto"/>
          <w:sz w:val="24"/>
          <w:highlight w:val="none"/>
        </w:rPr>
      </w:pPr>
      <w:r>
        <w:rPr>
          <w:rFonts w:hint="eastAsia"/>
          <w:color w:val="auto"/>
          <w:sz w:val="24"/>
          <w:szCs w:val="28"/>
          <w:highlight w:val="none"/>
        </w:rPr>
        <w:t xml:space="preserve">评标委员会对符合资格的投标人的投标文件进行符合性审查，未通过审查的为无效标，不再参与评审。</w:t>
      </w:r>
      <w:r/>
    </w:p>
    <w:tbl>
      <w:tblPr>
        <w:tblStyle w:val="673"/>
        <w:tblW w:w="8668" w:type="dxa"/>
        <w:jc w:val="center"/>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jc w:val="center"/>
        </w:trPr>
        <w:tc>
          <w:tcPr>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ind w:firstLine="480"/>
              <w:jc w:val="left"/>
              <w:spacing w:line="480" w:lineRule="exact"/>
              <w:rPr>
                <w:rFonts w:hint="eastAsia"/>
                <w:color w:val="auto"/>
                <w:sz w:val="24"/>
                <w:szCs w:val="28"/>
                <w:highlight w:val="none"/>
              </w:rPr>
            </w:pPr>
            <w:r>
              <w:rPr>
                <w:rFonts w:hint="eastAsia"/>
                <w:color w:val="auto"/>
                <w:sz w:val="24"/>
                <w:szCs w:val="28"/>
                <w:highlight w:val="none"/>
              </w:rPr>
              <w:t xml:space="preserve">符合性审查因素</w:t>
            </w:r>
            <w:r/>
          </w:p>
        </w:tc>
        <w:tc>
          <w:tcPr>
            <w:tcBorders>
              <w:top w:val="single" w:color="000000" w:sz="4" w:space="0"/>
              <w:left w:val="single" w:color="000000" w:sz="4" w:space="0"/>
              <w:bottom w:val="single" w:color="000000" w:sz="4" w:space="0"/>
              <w:right w:val="single" w:color="000000" w:sz="4" w:space="0"/>
            </w:tcBorders>
            <w:tcW w:w="4304" w:type="dxa"/>
            <w:vAlign w:val="center"/>
            <w:textDirection w:val="lrTb"/>
            <w:noWrap w:val="false"/>
          </w:tcPr>
          <w:p>
            <w:pPr>
              <w:ind w:firstLine="480"/>
              <w:jc w:val="left"/>
              <w:spacing w:line="480" w:lineRule="exact"/>
              <w:rPr>
                <w:rFonts w:hint="eastAsia"/>
                <w:color w:val="auto"/>
                <w:sz w:val="24"/>
                <w:szCs w:val="28"/>
                <w:highlight w:val="none"/>
              </w:rPr>
            </w:pPr>
            <w:r>
              <w:rPr>
                <w:rFonts w:hint="eastAsia"/>
                <w:color w:val="auto"/>
                <w:sz w:val="24"/>
                <w:szCs w:val="28"/>
                <w:highlight w:val="none"/>
              </w:rPr>
              <w:t xml:space="preserve">审查标准</w:t>
            </w:r>
            <w:r/>
          </w:p>
        </w:tc>
      </w:tr>
      <w:tr>
        <w:trPr>
          <w:jc w:val="center"/>
        </w:trPr>
        <w:tc>
          <w:tcPr>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ind w:firstLine="480"/>
              <w:jc w:val="left"/>
              <w:spacing w:line="480" w:lineRule="exact"/>
              <w:rPr>
                <w:rFonts w:hint="default" w:eastAsia="宋体"/>
                <w:color w:val="auto"/>
                <w:sz w:val="24"/>
                <w:szCs w:val="28"/>
                <w:highlight w:val="none"/>
                <w:lang w:val="en-US" w:eastAsia="zh-CN"/>
              </w:rPr>
            </w:pPr>
            <w:r>
              <w:rPr>
                <w:rFonts w:hint="eastAsia"/>
                <w:color w:val="auto"/>
                <w:sz w:val="24"/>
                <w:szCs w:val="28"/>
                <w:highlight w:val="none"/>
                <w:lang w:val="en-US" w:eastAsia="zh-CN"/>
              </w:rPr>
              <w:t xml:space="preserve">开标一览表及投标报价</w:t>
            </w:r>
            <w:r/>
          </w:p>
        </w:tc>
        <w:tc>
          <w:tcPr>
            <w:tcBorders>
              <w:top w:val="single" w:color="000000" w:sz="4" w:space="0"/>
              <w:left w:val="single" w:color="000000" w:sz="4" w:space="0"/>
              <w:bottom w:val="single" w:color="000000" w:sz="4" w:space="0"/>
              <w:right w:val="single" w:color="000000" w:sz="4" w:space="0"/>
            </w:tcBorders>
            <w:tcW w:w="4304" w:type="dxa"/>
            <w:vAlign w:val="center"/>
            <w:textDirection w:val="lrTb"/>
            <w:noWrap w:val="false"/>
          </w:tcPr>
          <w:p>
            <w:pPr>
              <w:ind w:firstLine="480"/>
              <w:jc w:val="left"/>
              <w:spacing w:line="480" w:lineRule="exact"/>
              <w:rPr>
                <w:rFonts w:hint="default" w:eastAsia="宋体"/>
                <w:color w:val="auto"/>
                <w:sz w:val="24"/>
                <w:szCs w:val="28"/>
                <w:highlight w:val="none"/>
                <w:lang w:val="en-US" w:eastAsia="zh-CN"/>
              </w:rPr>
            </w:pPr>
            <w:r>
              <w:rPr>
                <w:rFonts w:hint="eastAsia"/>
                <w:color w:val="auto"/>
                <w:sz w:val="24"/>
                <w:szCs w:val="28"/>
                <w:highlight w:val="none"/>
                <w:lang w:val="en-US" w:eastAsia="zh-CN"/>
              </w:rPr>
              <w:t xml:space="preserve">符合招标文件要求</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ind w:firstLine="480"/>
              <w:jc w:val="left"/>
              <w:spacing w:line="480" w:lineRule="exact"/>
              <w:rPr>
                <w:rFonts w:hint="eastAsia" w:ascii="Calibri" w:hAnsi="Calibri" w:eastAsia="宋体" w:cs="Times New Roman"/>
                <w:color w:val="auto"/>
                <w:sz w:val="24"/>
                <w:szCs w:val="28"/>
                <w:highlight w:val="none"/>
                <w:lang w:val="en-US" w:eastAsia="zh-CN" w:bidi="ar-SA"/>
              </w:rPr>
            </w:pPr>
            <w:r>
              <w:rPr>
                <w:rFonts w:hint="eastAsia"/>
                <w:color w:val="auto"/>
                <w:sz w:val="24"/>
                <w:szCs w:val="28"/>
                <w:highlight w:val="none"/>
              </w:rPr>
              <w:t xml:space="preserve">法人授权书</w:t>
            </w:r>
            <w:r/>
          </w:p>
        </w:tc>
        <w:tc>
          <w:tcPr>
            <w:shd w:val="clear" w:color="auto" w:fill="auto"/>
            <w:tcBorders>
              <w:top w:val="single" w:color="000000" w:sz="4" w:space="0"/>
              <w:left w:val="single" w:color="000000" w:sz="4" w:space="0"/>
              <w:bottom w:val="single" w:color="000000" w:sz="4" w:space="0"/>
              <w:right w:val="single" w:color="000000" w:sz="4" w:space="0"/>
            </w:tcBorders>
            <w:tcW w:w="4304" w:type="dxa"/>
            <w:vAlign w:val="center"/>
            <w:textDirection w:val="lrTb"/>
            <w:noWrap w:val="false"/>
          </w:tcPr>
          <w:p>
            <w:pPr>
              <w:ind w:firstLine="480"/>
              <w:jc w:val="left"/>
              <w:spacing w:line="480" w:lineRule="exact"/>
              <w:rPr>
                <w:rFonts w:hint="eastAsia" w:ascii="Calibri" w:hAnsi="Calibri" w:eastAsia="宋体" w:cs="Times New Roman"/>
                <w:color w:val="auto"/>
                <w:sz w:val="24"/>
                <w:szCs w:val="28"/>
                <w:highlight w:val="none"/>
                <w:lang w:val="en-US" w:eastAsia="zh-CN" w:bidi="ar-SA"/>
              </w:rPr>
            </w:pPr>
            <w:r>
              <w:rPr>
                <w:rFonts w:hint="eastAsia"/>
                <w:color w:val="auto"/>
                <w:sz w:val="24"/>
                <w:szCs w:val="28"/>
                <w:highlight w:val="none"/>
              </w:rPr>
              <w:t xml:space="preserve">符合招标文件要求</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ind w:firstLine="480"/>
              <w:jc w:val="left"/>
              <w:spacing w:line="480" w:lineRule="exact"/>
              <w:rPr>
                <w:rFonts w:hint="eastAsia" w:ascii="Calibri" w:hAnsi="Calibri" w:eastAsia="宋体" w:cs="Times New Roman"/>
                <w:color w:val="auto"/>
                <w:sz w:val="24"/>
                <w:szCs w:val="28"/>
                <w:highlight w:val="none"/>
                <w:lang w:val="en-US" w:eastAsia="zh-CN" w:bidi="ar-SA"/>
              </w:rPr>
            </w:pPr>
            <w:r>
              <w:rPr>
                <w:rFonts w:hint="eastAsia"/>
                <w:color w:val="auto"/>
                <w:sz w:val="24"/>
                <w:szCs w:val="28"/>
                <w:highlight w:val="none"/>
              </w:rPr>
              <w:t xml:space="preserve">技术标准和要求</w:t>
            </w:r>
            <w:r/>
          </w:p>
        </w:tc>
        <w:tc>
          <w:tcPr>
            <w:shd w:val="clear" w:color="auto" w:fill="auto"/>
            <w:tcBorders>
              <w:top w:val="single" w:color="000000" w:sz="4" w:space="0"/>
              <w:left w:val="single" w:color="000000" w:sz="4" w:space="0"/>
              <w:bottom w:val="single" w:color="000000" w:sz="4" w:space="0"/>
              <w:right w:val="single" w:color="000000" w:sz="4" w:space="0"/>
            </w:tcBorders>
            <w:tcW w:w="4304" w:type="dxa"/>
            <w:vAlign w:val="center"/>
            <w:textDirection w:val="lrTb"/>
            <w:noWrap w:val="false"/>
          </w:tcPr>
          <w:p>
            <w:pPr>
              <w:ind w:firstLine="480"/>
              <w:jc w:val="left"/>
              <w:spacing w:line="480" w:lineRule="exact"/>
              <w:rPr>
                <w:rFonts w:hint="eastAsia" w:ascii="Calibri" w:hAnsi="Calibri" w:eastAsia="宋体" w:cs="Times New Roman"/>
                <w:color w:val="auto"/>
                <w:sz w:val="24"/>
                <w:szCs w:val="28"/>
                <w:highlight w:val="none"/>
                <w:lang w:val="en-US" w:eastAsia="zh-CN" w:bidi="ar-SA"/>
              </w:rPr>
            </w:pPr>
            <w:r>
              <w:rPr>
                <w:rFonts w:hint="eastAsia"/>
                <w:color w:val="auto"/>
                <w:sz w:val="24"/>
                <w:szCs w:val="28"/>
                <w:highlight w:val="none"/>
              </w:rPr>
              <w:t xml:space="preserve">符合招标文件要求</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ind w:firstLine="480"/>
              <w:jc w:val="left"/>
              <w:spacing w:line="480" w:lineRule="exact"/>
              <w:rPr>
                <w:rFonts w:hint="eastAsia" w:ascii="Calibri" w:hAnsi="Calibri" w:eastAsia="宋体" w:cs="Times New Roman"/>
                <w:color w:val="auto"/>
                <w:sz w:val="24"/>
                <w:szCs w:val="28"/>
                <w:highlight w:val="none"/>
                <w:lang w:val="en-US" w:eastAsia="zh-CN" w:bidi="ar-SA"/>
              </w:rPr>
            </w:pPr>
            <w:r>
              <w:rPr>
                <w:rFonts w:hint="eastAsia"/>
                <w:color w:val="auto"/>
                <w:sz w:val="24"/>
                <w:szCs w:val="28"/>
                <w:highlight w:val="none"/>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4304" w:type="dxa"/>
            <w:vAlign w:val="center"/>
            <w:textDirection w:val="lrTb"/>
            <w:noWrap w:val="false"/>
          </w:tcPr>
          <w:p>
            <w:pPr>
              <w:ind w:firstLine="480"/>
              <w:jc w:val="left"/>
              <w:spacing w:line="480" w:lineRule="exact"/>
              <w:rPr>
                <w:rFonts w:hint="eastAsia" w:ascii="Calibri" w:hAnsi="Calibri" w:eastAsia="宋体" w:cs="Times New Roman"/>
                <w:color w:val="auto"/>
                <w:sz w:val="24"/>
                <w:szCs w:val="28"/>
                <w:highlight w:val="none"/>
                <w:lang w:val="en-US" w:eastAsia="zh-CN" w:bidi="ar-SA"/>
              </w:rPr>
            </w:pPr>
            <w:r>
              <w:rPr>
                <w:rFonts w:hint="eastAsia"/>
                <w:color w:val="auto"/>
                <w:sz w:val="24"/>
                <w:szCs w:val="28"/>
                <w:highlight w:val="none"/>
              </w:rPr>
              <w:t xml:space="preserve">符合招标文件要求</w:t>
            </w:r>
            <w:r/>
          </w:p>
        </w:tc>
      </w:tr>
    </w:tbl>
    <w:p>
      <w:pPr>
        <w:ind w:firstLine="482"/>
        <w:jc w:val="left"/>
        <w:spacing w:line="480" w:lineRule="exac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三、评标方法</w:t>
      </w:r>
      <w:r/>
    </w:p>
    <w:p>
      <w:pPr>
        <w:ind w:left="102" w:right="137" w:firstLine="479"/>
        <w:spacing w:before="194" w:line="319" w:lineRule="auto"/>
        <w:rPr>
          <w:rFonts w:ascii="Times New Roman" w:hAnsi="Times New Roman" w:cs="仿宋"/>
          <w:color w:val="auto"/>
          <w:sz w:val="24"/>
          <w:highlight w:val="none"/>
        </w:rPr>
      </w:pPr>
      <w:r>
        <w:rPr>
          <w:rFonts w:hint="eastAsia"/>
          <w:color w:val="auto"/>
          <w:sz w:val="24"/>
          <w:szCs w:val="28"/>
          <w:highlight w:val="none"/>
        </w:rPr>
        <w:t xml:space="preserve">本项目采用综合评分法，评标结果按评审后得分由高到低顺序排列。得分相同的，按投标报价由低到高顺序排序。得分且投标报价相同的并列。</w:t>
      </w:r>
      <w:r>
        <w:rPr>
          <w:rFonts w:hint="eastAsia" w:ascii="Times New Roman" w:hAnsi="Times New Roman" w:cs="仿宋"/>
          <w:color w:val="auto"/>
          <w:sz w:val="24"/>
          <w:highlight w:val="none"/>
        </w:rPr>
        <w:t xml:space="preserve">综合评分保留至小数点后两位。</w:t>
      </w:r>
      <w:r>
        <w:rPr>
          <w:rFonts w:hint="eastAsia" w:ascii="宋体" w:hAnsi="宋体" w:eastAsia="宋体" w:cs="宋体"/>
          <w:color w:val="auto"/>
          <w:spacing w:val="-2"/>
          <w:sz w:val="24"/>
          <w:szCs w:val="24"/>
        </w:rPr>
        <w:t xml:space="preserve">注：各投标人可就分包一、分包二投标，但每个投标人，只能在 1个分包上中标（若投标人参加上述2个分包的投标，按照开标的先后顺序，若在前一分包被推荐为第一中标候选人，在后一分包参与评标，但不得被推荐为中标候选人；开标顺序：分包一、分包二；评标和定标顺序同开标顺序）。评审结束后，若其中一个分包受到质疑投诉等原因，导致本分包评审结果改变，但不影响其他分包的评审结果。</w:t>
      </w:r>
      <w:r/>
    </w:p>
    <w:p>
      <w:pPr>
        <w:ind w:firstLine="480"/>
        <w:jc w:val="left"/>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评标委员会根据评标后投标人排序推荐中标候选人，并形成评标报告。</w:t>
      </w:r>
      <w:r/>
    </w:p>
    <w:tbl>
      <w:tblPr>
        <w:tblStyle w:val="673"/>
        <w:tblpPr w:horzAnchor="page" w:tblpX="1395" w:vertAnchor="text" w:tblpY="471" w:leftFromText="180" w:topFromText="0" w:rightFromText="180" w:bottomFromText="0"/>
        <w:tblW w:w="499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5"/>
        <w:gridCol w:w="1587"/>
        <w:gridCol w:w="1167"/>
        <w:gridCol w:w="5662"/>
      </w:tblGrid>
      <w:tr>
        <w:trPr>
          <w:trHeight w:val="572"/>
        </w:trPr>
        <w:tc>
          <w:tcPr>
            <w:gridSpan w:val="2"/>
            <w:tcW w:w="1364" w:type="pct"/>
            <w:vAlign w:val="center"/>
            <w:textDirection w:val="lrTb"/>
            <w:noWrap w:val="false"/>
          </w:tcPr>
          <w:p>
            <w:pPr>
              <w:jc w:val="center"/>
              <w:spacing w:line="360" w:lineRule="exact"/>
              <w:widowControl/>
              <w:rPr>
                <w:rFonts w:hint="eastAsia" w:ascii="Times New Roman" w:hAnsi="Times New Roman" w:cs="宋体"/>
                <w:color w:val="auto"/>
                <w:sz w:val="24"/>
                <w:szCs w:val="24"/>
                <w:highlight w:val="none"/>
              </w:rPr>
            </w:pPr>
            <w:r/>
            <w:bookmarkStart w:id="117" w:name="RANGE!A1"/>
            <w:r>
              <w:rPr>
                <w:rFonts w:hint="eastAsia" w:ascii="Times New Roman" w:hAnsi="Times New Roman" w:cs="宋体"/>
                <w:color w:val="auto"/>
                <w:sz w:val="24"/>
                <w:szCs w:val="24"/>
                <w:highlight w:val="none"/>
              </w:rPr>
              <w:t xml:space="preserve">评审因素</w:t>
            </w:r>
            <w:bookmarkEnd w:id="117"/>
            <w:r/>
            <w:r/>
          </w:p>
        </w:tc>
        <w:tc>
          <w:tcPr>
            <w:tcW w:w="621" w:type="pct"/>
            <w:vAlign w:val="center"/>
            <w:textDirection w:val="lrTb"/>
            <w:noWrap w:val="false"/>
          </w:tcPr>
          <w:p>
            <w:pPr>
              <w:jc w:val="center"/>
              <w:spacing w:line="360" w:lineRule="exac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分数</w:t>
            </w:r>
            <w:r/>
          </w:p>
        </w:tc>
        <w:tc>
          <w:tcPr>
            <w:tcW w:w="3014" w:type="pct"/>
            <w:vAlign w:val="center"/>
            <w:textDirection w:val="lrTb"/>
            <w:noWrap w:val="false"/>
          </w:tcPr>
          <w:p>
            <w:pPr>
              <w:jc w:val="center"/>
              <w:spacing w:line="360" w:lineRule="exac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评审标准</w:t>
            </w:r>
            <w:r/>
          </w:p>
        </w:tc>
      </w:tr>
      <w:tr>
        <w:trPr>
          <w:trHeight w:val="274"/>
        </w:trPr>
        <w:tc>
          <w:tcPr>
            <w:tcW w:w="519" w:type="pct"/>
            <w:vAlign w:val="center"/>
            <w:textDirection w:val="lrTb"/>
            <w:noWrap w:val="false"/>
          </w:tcPr>
          <w:p>
            <w:pPr>
              <w:jc w:val="center"/>
              <w:spacing w:line="360" w:lineRule="exact"/>
              <w:widowControl/>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报价分</w:t>
            </w:r>
            <w:r/>
          </w:p>
        </w:tc>
        <w:tc>
          <w:tcPr>
            <w:tcW w:w="844" w:type="pct"/>
            <w:vAlign w:val="center"/>
            <w:textDirection w:val="lrTb"/>
            <w:noWrap w:val="false"/>
          </w:tcPr>
          <w:p>
            <w:pPr>
              <w:jc w:val="center"/>
              <w:spacing w:line="360" w:lineRule="exac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投标报价</w:t>
            </w:r>
            <w:r/>
          </w:p>
        </w:tc>
        <w:tc>
          <w:tcPr>
            <w:tcW w:w="621" w:type="pct"/>
            <w:vAlign w:val="center"/>
            <w:textDirection w:val="lrTb"/>
            <w:noWrap w:val="false"/>
          </w:tcPr>
          <w:p>
            <w:pPr>
              <w:jc w:val="center"/>
              <w:spacing w:line="360" w:lineRule="exac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30.00分</w:t>
            </w:r>
            <w:r/>
          </w:p>
        </w:tc>
        <w:tc>
          <w:tcPr>
            <w:tcW w:w="3014" w:type="pct"/>
            <w:vAlign w:val="center"/>
            <w:textDirection w:val="lrTb"/>
            <w:noWrap w:val="false"/>
          </w:tcPr>
          <w:p>
            <w:pPr>
              <w:jc w:val="left"/>
              <w:spacing w:line="360" w:lineRule="exact"/>
              <w:widowControl/>
              <w:rPr>
                <w:rFonts w:hint="eastAsia" w:ascii="Times New Roman" w:hAnsi="Times New Roman" w:eastAsia="宋体" w:cs="宋体"/>
                <w:color w:val="auto"/>
                <w:sz w:val="24"/>
                <w:szCs w:val="24"/>
                <w:highlight w:val="none"/>
                <w:lang w:eastAsia="zh-CN"/>
              </w:rPr>
            </w:pPr>
            <w:r>
              <w:rPr>
                <w:rFonts w:hint="eastAsia" w:ascii="Times New Roman" w:hAnsi="Times New Roman" w:cs="宋体"/>
                <w:color w:val="auto"/>
                <w:sz w:val="24"/>
                <w:szCs w:val="24"/>
                <w:highlight w:val="none"/>
              </w:rPr>
              <w:t xml:space="preserve">采用低价优先法计算，即满足招标文件要求且投标价格最低的投标报价为评标基准价，其价格分为满分。其他投标人投标报价得分＝（评标基准价/投标报价）*30。</w:t>
            </w:r>
            <w:r/>
          </w:p>
          <w:p>
            <w:pPr>
              <w:ind w:firstLine="480"/>
              <w:jc w:val="left"/>
              <w:spacing w:line="360" w:lineRule="exact"/>
              <w:widowControl/>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注：符合规定的小微企业（含监狱企业和残疾人福利单位）报价给予15%的扣除</w:t>
            </w:r>
            <w:r>
              <w:rPr>
                <w:rFonts w:hint="eastAsia" w:ascii="Times New Roman" w:hAnsi="Times New Roman" w:cs="宋体"/>
                <w:color w:val="auto"/>
                <w:sz w:val="24"/>
                <w:szCs w:val="24"/>
                <w:highlight w:val="none"/>
                <w:lang w:eastAsia="zh-CN"/>
              </w:rPr>
              <w:t xml:space="preserve">，</w:t>
            </w:r>
            <w:r>
              <w:rPr>
                <w:rFonts w:hint="eastAsia" w:ascii="Times New Roman" w:hAnsi="Times New Roman" w:cs="宋体"/>
                <w:color w:val="auto"/>
                <w:sz w:val="24"/>
                <w:szCs w:val="24"/>
                <w:highlight w:val="none"/>
              </w:rPr>
              <w:t xml:space="preserve">用扣除后的价格参加评审。</w:t>
            </w:r>
            <w:r/>
          </w:p>
        </w:tc>
      </w:tr>
      <w:tr>
        <w:trPr>
          <w:trHeight w:val="4996"/>
        </w:trPr>
        <w:tc>
          <w:tcPr>
            <w:tcW w:w="519" w:type="pct"/>
            <w:vAlign w:val="center"/>
            <w:vMerge w:val="restart"/>
            <w:textDirection w:val="lrTb"/>
            <w:noWrap w:val="false"/>
          </w:tcPr>
          <w:p>
            <w:pPr>
              <w:jc w:val="center"/>
              <w:spacing w:line="360" w:lineRule="exact"/>
              <w:widowControl/>
              <w:rPr>
                <w:rFonts w:hint="eastAsia" w:ascii="Times New Roman" w:hAnsi="Times New Roman" w:eastAsia="宋体" w:cs="宋体"/>
                <w:color w:val="auto"/>
                <w:sz w:val="24"/>
                <w:szCs w:val="24"/>
                <w:highlight w:val="none"/>
                <w:lang w:val="en-US" w:eastAsia="zh-CN" w:bidi="ar-SA"/>
              </w:rPr>
            </w:pPr>
            <w:r>
              <w:rPr>
                <w:rFonts w:hint="eastAsia" w:ascii="Times New Roman" w:hAnsi="Times New Roman" w:eastAsia="宋体" w:cs="宋体"/>
                <w:color w:val="auto"/>
                <w:sz w:val="24"/>
                <w:szCs w:val="24"/>
                <w:highlight w:val="none"/>
                <w:lang w:val="en-US" w:eastAsia="zh-CN" w:bidi="ar-SA"/>
              </w:rPr>
              <w:t xml:space="preserve">技术</w:t>
            </w:r>
            <w:r/>
          </w:p>
          <w:p>
            <w:pPr>
              <w:jc w:val="center"/>
              <w:spacing w:line="360" w:lineRule="exact"/>
              <w:widowControl/>
              <w:rPr>
                <w:rFonts w:hint="eastAsia" w:ascii="Times New Roman" w:hAnsi="Times New Roman" w:eastAsia="宋体" w:cs="宋体"/>
                <w:color w:val="auto"/>
                <w:sz w:val="24"/>
                <w:szCs w:val="24"/>
                <w:highlight w:val="none"/>
                <w:lang w:eastAsia="zh-CN"/>
              </w:rPr>
            </w:pPr>
            <w:r>
              <w:rPr>
                <w:rFonts w:hint="eastAsia" w:ascii="Times New Roman" w:hAnsi="Times New Roman" w:eastAsia="宋体" w:cs="宋体"/>
                <w:color w:val="auto"/>
                <w:sz w:val="24"/>
                <w:szCs w:val="24"/>
                <w:highlight w:val="none"/>
                <w:lang w:val="en-US" w:eastAsia="zh-CN" w:bidi="ar-SA"/>
              </w:rPr>
              <w:t xml:space="preserve">要求</w:t>
            </w:r>
            <w:r/>
          </w:p>
        </w:tc>
        <w:tc>
          <w:tcPr>
            <w:tcW w:w="844" w:type="pct"/>
            <w:vAlign w:val="center"/>
            <w:textDirection w:val="lrTb"/>
            <w:noWrap w:val="false"/>
          </w:tcPr>
          <w:p>
            <w:pPr>
              <w:jc w:val="center"/>
              <w:spacing w:line="360" w:lineRule="exac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技术响应</w:t>
            </w:r>
            <w:r/>
          </w:p>
        </w:tc>
        <w:tc>
          <w:tcPr>
            <w:tcW w:w="621" w:type="pct"/>
            <w:vAlign w:val="center"/>
            <w:textDirection w:val="lrTb"/>
            <w:noWrap w:val="false"/>
          </w:tcPr>
          <w:p>
            <w:pPr>
              <w:jc w:val="center"/>
              <w:spacing w:line="360" w:lineRule="exac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lang w:val="en-US" w:eastAsia="zh-CN"/>
              </w:rPr>
              <w:t xml:space="preserve">25</w:t>
            </w:r>
            <w:r>
              <w:rPr>
                <w:rFonts w:hint="eastAsia" w:ascii="Times New Roman" w:hAnsi="Times New Roman" w:cs="宋体"/>
                <w:color w:val="auto"/>
                <w:sz w:val="24"/>
                <w:szCs w:val="24"/>
                <w:highlight w:val="none"/>
              </w:rPr>
              <w:t xml:space="preserve">.00分</w:t>
            </w:r>
            <w:r/>
          </w:p>
        </w:tc>
        <w:tc>
          <w:tcPr>
            <w:tcW w:w="3014" w:type="pct"/>
            <w:vAlign w:val="center"/>
            <w:textDirection w:val="lrTb"/>
            <w:noWrap w:val="false"/>
          </w:tcPr>
          <w:p>
            <w:pPr>
              <w:pStyle w:val="791"/>
              <w:jc w:val="both"/>
              <w:spacing w:before="0" w:beforeAutospacing="0" w:after="0" w:afterAutospacing="0" w:line="360" w:lineRule="exact"/>
              <w:widowControl w:val="off"/>
              <w:rPr>
                <w:rFonts w:ascii="Times New Roman" w:hAnsi="Times New Roman"/>
                <w:color w:val="auto"/>
                <w:highlight w:val="none"/>
              </w:rPr>
            </w:pPr>
            <w:r>
              <w:rPr>
                <w:rFonts w:hint="eastAsia" w:ascii="Times New Roman" w:hAnsi="Times New Roman"/>
                <w:color w:val="auto"/>
                <w:highlight w:val="none"/>
              </w:rPr>
              <w:t xml:space="preserve">针对招标文件采购清单及技术要求内容进行评分，所投产品技术参数性能、质量等完全满足或优于招标文件技术参数要求的得2</w:t>
            </w:r>
            <w:r>
              <w:rPr>
                <w:rFonts w:hint="eastAsia" w:ascii="Times New Roman" w:hAnsi="Times New Roman"/>
                <w:color w:val="auto"/>
                <w:highlight w:val="none"/>
                <w:lang w:val="en-US" w:eastAsia="zh-CN"/>
              </w:rPr>
              <w:t xml:space="preserve">5</w:t>
            </w:r>
            <w:r>
              <w:rPr>
                <w:rFonts w:hint="eastAsia" w:ascii="Times New Roman" w:hAnsi="Times New Roman"/>
                <w:color w:val="auto"/>
                <w:highlight w:val="none"/>
              </w:rPr>
              <w:t xml:space="preserve">分。标记“▲” 的为重要技术参数（一个句号的完整内容为一“项”，共有 4项）每有一条标记“▲” 的条款负偏离扣2分，其他技术参数，每有一条条款负偏离扣1.5分，扣完为止。注：投标人针对本项评分内容在投标文件《技术响应偏离表》中逐条列出响应及偏离情况，采购需求中要求提供证明材料的，以证明材料为准；采购需求中未要求提供证明材料的，以《技术响应偏离表》为准。标记“▲”要求提供证明材料而未提供的按负偏离进行扣分处理。</w:t>
            </w:r>
            <w:r/>
          </w:p>
        </w:tc>
      </w:tr>
      <w:tr>
        <w:trPr>
          <w:trHeight w:val="2309"/>
        </w:trPr>
        <w:tc>
          <w:tcPr>
            <w:tcW w:w="519" w:type="pct"/>
            <w:vAlign w:val="center"/>
            <w:vMerge w:val="continue"/>
            <w:textDirection w:val="lrTb"/>
            <w:noWrap w:val="false"/>
          </w:tcPr>
          <w:p>
            <w:pPr>
              <w:jc w:val="left"/>
              <w:rPr>
                <w:rFonts w:hint="eastAsia"/>
                <w:color w:val="auto"/>
                <w:highlight w:val="none"/>
              </w:rPr>
            </w:pPr>
            <w:r>
              <w:rPr>
                <w:rFonts w:hint="eastAsia"/>
                <w:color w:val="auto"/>
                <w:highlight w:val="none"/>
              </w:rPr>
            </w:r>
            <w:r/>
          </w:p>
        </w:tc>
        <w:tc>
          <w:tcPr>
            <w:tcBorders>
              <w:bottom w:val="single" w:color="auto" w:sz="4" w:space="0"/>
            </w:tcBorders>
            <w:tcW w:w="844" w:type="pct"/>
            <w:vAlign w:val="center"/>
            <w:textDirection w:val="lrTb"/>
            <w:noWrap w:val="false"/>
          </w:tcPr>
          <w:p>
            <w:pPr>
              <w:jc w:val="center"/>
              <w:rPr>
                <w:rFonts w:hint="eastAsia" w:ascii="Times New Roman" w:hAnsi="Times New Roman" w:cs="宋体"/>
                <w:color w:val="auto"/>
                <w:sz w:val="24"/>
                <w:szCs w:val="24"/>
                <w:highlight w:val="yellow"/>
              </w:rPr>
            </w:pPr>
            <w:r>
              <w:rPr>
                <w:rFonts w:hint="eastAsia" w:ascii="Times New Roman" w:hAnsi="Times New Roman" w:eastAsia="宋体" w:cs="宋体"/>
                <w:color w:val="auto"/>
                <w:sz w:val="24"/>
                <w:szCs w:val="24"/>
                <w:highlight w:val="none"/>
                <w:lang w:val="en-US" w:eastAsia="zh-CN" w:bidi="ar-SA"/>
              </w:rPr>
              <w:t xml:space="preserve">主要部件</w:t>
            </w:r>
            <w:r/>
          </w:p>
        </w:tc>
        <w:tc>
          <w:tcPr>
            <w:tcBorders>
              <w:bottom w:val="single" w:color="auto" w:sz="4" w:space="0"/>
            </w:tcBorders>
            <w:tcW w:w="621" w:type="pct"/>
            <w:vAlign w:val="center"/>
            <w:textDirection w:val="lrTb"/>
            <w:noWrap w:val="false"/>
          </w:tcPr>
          <w:p>
            <w:pPr>
              <w:jc w:val="center"/>
              <w:rPr>
                <w:rFonts w:hint="eastAsia" w:ascii="Times New Roman" w:hAnsi="Times New Roman" w:cs="宋体"/>
                <w:color w:val="auto"/>
                <w:sz w:val="24"/>
                <w:szCs w:val="24"/>
                <w:highlight w:val="none"/>
              </w:rPr>
            </w:pPr>
            <w:r>
              <w:rPr>
                <w:rFonts w:hint="eastAsia"/>
                <w:color w:val="auto"/>
                <w:sz w:val="24"/>
                <w:szCs w:val="24"/>
                <w:highlight w:val="none"/>
                <w:lang w:val="en-US" w:eastAsia="zh-CN"/>
              </w:rPr>
              <w:t xml:space="preserve">10</w:t>
            </w:r>
            <w:r>
              <w:rPr>
                <w:color w:val="auto"/>
                <w:sz w:val="24"/>
                <w:szCs w:val="24"/>
                <w:highlight w:val="none"/>
              </w:rPr>
              <w:t xml:space="preserve">.00分</w:t>
            </w:r>
            <w:r/>
          </w:p>
        </w:tc>
        <w:tc>
          <w:tcPr>
            <w:tcBorders>
              <w:bottom w:val="single" w:color="auto" w:sz="4" w:space="0"/>
            </w:tcBorders>
            <w:tcW w:w="3014" w:type="pct"/>
            <w:vAlign w:val="center"/>
            <w:textDirection w:val="lrTb"/>
            <w:noWrap w:val="false"/>
          </w:tcPr>
          <w:p>
            <w:pPr>
              <w:jc w:val="left"/>
              <w:spacing w:line="360" w:lineRule="exact"/>
              <w:widowControl/>
              <w:rPr>
                <w:rFonts w:hint="eastAsia" w:ascii="Times New Roman" w:hAnsi="Times New Roman" w:eastAsia="宋体" w:cs="宋体"/>
                <w:color w:val="auto"/>
                <w:sz w:val="24"/>
                <w:szCs w:val="24"/>
                <w:highlight w:val="none"/>
                <w:lang w:val="en-US" w:eastAsia="zh-CN" w:bidi="ar-SA"/>
              </w:rPr>
            </w:pPr>
            <w:r>
              <w:rPr>
                <w:rFonts w:hint="eastAsia" w:ascii="Times New Roman" w:hAnsi="Times New Roman" w:cs="宋体"/>
                <w:color w:val="auto"/>
                <w:sz w:val="24"/>
                <w:szCs w:val="24"/>
                <w:highlight w:val="none"/>
              </w:rPr>
              <w:t xml:space="preserve">投标人所投品牌电梯的整机型式试验报告中: 曳引机、控制柜、层门门锁、轿门门锁、安全电路、限速器、安全钳、缓冲器、上行超速保护装置、轿厢意外移动装置</w:t>
            </w:r>
            <w:r>
              <w:rPr>
                <w:color w:val="auto"/>
                <w:spacing w:val="-1"/>
              </w:rPr>
              <w:t xml:space="preserve">为原厂原品牌生产（与所投电梯品牌相同</w:t>
            </w:r>
            <w:r>
              <w:rPr>
                <w:color w:val="auto"/>
                <w:spacing w:val="5"/>
              </w:rPr>
              <w:t xml:space="preserve">）；</w:t>
            </w:r>
            <w:r>
              <w:rPr>
                <w:color w:val="auto"/>
                <w:spacing w:val="-1"/>
              </w:rPr>
              <w:t xml:space="preserve">完全</w:t>
            </w:r>
            <w:r>
              <w:rPr>
                <w:color w:val="auto"/>
                <w:spacing w:val="-2"/>
              </w:rPr>
              <w:t xml:space="preserve">符合的得满分</w:t>
            </w:r>
            <w:r>
              <w:rPr>
                <w:color w:val="auto"/>
                <w:spacing w:val="-50"/>
              </w:rPr>
              <w:t xml:space="preserve"> </w:t>
            </w:r>
            <w:r>
              <w:rPr>
                <w:rFonts w:hint="eastAsia" w:ascii="Times New Roman" w:hAnsi="Times New Roman" w:cs="Times New Roman"/>
                <w:color w:val="auto"/>
                <w:spacing w:val="-2"/>
                <w:lang w:val="en-US" w:eastAsia="zh-CN"/>
              </w:rPr>
              <w:t xml:space="preserve">10</w:t>
            </w:r>
            <w:r>
              <w:rPr>
                <w:rFonts w:ascii="Times New Roman" w:hAnsi="Times New Roman" w:eastAsia="Times New Roman" w:cs="Times New Roman"/>
                <w:color w:val="auto"/>
                <w:spacing w:val="-2"/>
              </w:rPr>
              <w:t xml:space="preserve"> </w:t>
            </w:r>
            <w:r>
              <w:rPr>
                <w:color w:val="auto"/>
                <w:spacing w:val="-2"/>
              </w:rPr>
              <w:t xml:space="preserve">分，有一项不符合的扣</w:t>
            </w:r>
            <w:r>
              <w:rPr>
                <w:color w:val="auto"/>
                <w:spacing w:val="-32"/>
              </w:rPr>
              <w:t xml:space="preserve"> </w:t>
            </w:r>
            <w:r>
              <w:rPr>
                <w:rFonts w:ascii="Times New Roman" w:hAnsi="Times New Roman" w:eastAsia="Times New Roman" w:cs="Times New Roman"/>
                <w:color w:val="auto"/>
                <w:spacing w:val="-2"/>
              </w:rPr>
              <w:t xml:space="preserve">1 </w:t>
            </w:r>
            <w:r>
              <w:rPr>
                <w:color w:val="auto"/>
                <w:spacing w:val="-2"/>
              </w:rPr>
              <w:t xml:space="preserve">分，扣完为止。注：</w:t>
            </w:r>
            <w:r>
              <w:rPr>
                <w:rFonts w:ascii="Times New Roman" w:hAnsi="Times New Roman" w:eastAsia="Times New Roman" w:cs="Times New Roman"/>
                <w:color w:val="auto"/>
                <w:spacing w:val="-2"/>
              </w:rPr>
              <w:t xml:space="preserve">1.</w:t>
            </w:r>
            <w:r>
              <w:rPr>
                <w:rFonts w:ascii="Times New Roman" w:hAnsi="Times New Roman" w:eastAsia="Times New Roman" w:cs="Times New Roman"/>
                <w:color w:val="auto"/>
                <w:spacing w:val="-20"/>
              </w:rPr>
              <w:t xml:space="preserve"> </w:t>
            </w:r>
            <w:r>
              <w:rPr>
                <w:color w:val="auto"/>
                <w:spacing w:val="-2"/>
              </w:rPr>
              <w:t xml:space="preserve">以明细报价表中注明的品牌为准；</w:t>
            </w:r>
            <w:r>
              <w:rPr>
                <w:rFonts w:ascii="Times New Roman" w:hAnsi="Times New Roman" w:eastAsia="Times New Roman" w:cs="Times New Roman"/>
                <w:color w:val="auto"/>
                <w:spacing w:val="-2"/>
              </w:rPr>
              <w:t xml:space="preserve">2.</w:t>
            </w:r>
            <w:r>
              <w:rPr>
                <w:color w:val="auto"/>
                <w:spacing w:val="-2"/>
              </w:rPr>
              <w:t xml:space="preserve">提</w:t>
            </w:r>
            <w:r>
              <w:rPr>
                <w:color w:val="auto"/>
                <w:spacing w:val="-1"/>
              </w:rPr>
              <w:t xml:space="preserve">供所投电梯产品有效的部件型式试验报告原件扫描</w:t>
            </w:r>
            <w:r>
              <w:rPr>
                <w:color w:val="auto"/>
                <w:spacing w:val="-5"/>
              </w:rPr>
              <w:t xml:space="preserve">件。</w:t>
            </w:r>
            <w:r/>
          </w:p>
        </w:tc>
      </w:tr>
      <w:tr>
        <w:trPr>
          <w:trHeight w:val="221"/>
        </w:trPr>
        <w:tc>
          <w:tcPr>
            <w:tcW w:w="519" w:type="pct"/>
            <w:vAlign w:val="center"/>
            <w:vMerge w:val="continue"/>
            <w:textDirection w:val="lrTb"/>
            <w:noWrap w:val="false"/>
          </w:tcPr>
          <w:p>
            <w:pPr>
              <w:jc w:val="left"/>
              <w:rPr>
                <w:rFonts w:hint="eastAsia"/>
                <w:color w:val="auto"/>
                <w:highlight w:val="none"/>
              </w:rPr>
            </w:pPr>
            <w:r>
              <w:rPr>
                <w:rFonts w:hint="eastAsia"/>
                <w:color w:val="auto"/>
                <w:highlight w:val="none"/>
              </w:rPr>
            </w:r>
            <w:r/>
          </w:p>
        </w:tc>
        <w:tc>
          <w:tcPr>
            <w:tcBorders>
              <w:top w:val="single" w:color="auto" w:sz="4" w:space="0"/>
            </w:tcBorders>
            <w:tcW w:w="844" w:type="pct"/>
            <w:vAlign w:val="center"/>
            <w:textDirection w:val="lrTb"/>
            <w:noWrap w:val="false"/>
          </w:tcPr>
          <w:p>
            <w:pPr>
              <w:jc w:val="center"/>
              <w:rPr>
                <w:rFonts w:hint="eastAsia" w:ascii="Times New Roman" w:hAnsi="Times New Roman" w:eastAsia="宋体" w:cs="宋体"/>
                <w:color w:val="auto"/>
                <w:sz w:val="24"/>
                <w:szCs w:val="24"/>
                <w:highlight w:val="none"/>
                <w:lang w:val="en-US" w:eastAsia="zh-CN" w:bidi="ar-SA"/>
              </w:rPr>
            </w:pPr>
            <w:r>
              <w:rPr>
                <w:rFonts w:hint="eastAsia"/>
                <w:color w:val="auto"/>
                <w:spacing w:val="-3"/>
                <w:lang w:eastAsia="zh-CN"/>
              </w:rPr>
              <w:t xml:space="preserve">节能环保</w:t>
            </w:r>
            <w:r/>
          </w:p>
        </w:tc>
        <w:tc>
          <w:tcPr>
            <w:tcBorders>
              <w:top w:val="single" w:color="auto" w:sz="4" w:space="0"/>
            </w:tcBorders>
            <w:tcW w:w="621" w:type="pct"/>
            <w:vAlign w:val="center"/>
            <w:textDirection w:val="lrTb"/>
            <w:noWrap w:val="false"/>
          </w:tcPr>
          <w:p>
            <w:pPr>
              <w:jc w:val="center"/>
              <w:rPr>
                <w:rFonts w:hint="eastAsia"/>
                <w:color w:val="auto"/>
                <w:sz w:val="24"/>
                <w:szCs w:val="24"/>
                <w:highlight w:val="none"/>
                <w:lang w:val="en-US" w:eastAsia="zh-CN"/>
              </w:rPr>
            </w:pPr>
            <w:r>
              <w:rPr>
                <w:rFonts w:hint="eastAsia" w:ascii="Calibri" w:hAnsi="Calibri" w:cs="Calibri"/>
                <w:color w:val="auto"/>
                <w:spacing w:val="-3"/>
                <w:lang w:val="en-US" w:eastAsia="zh-CN"/>
              </w:rPr>
              <w:t xml:space="preserve">2.00分</w:t>
            </w:r>
            <w:r/>
          </w:p>
        </w:tc>
        <w:tc>
          <w:tcPr>
            <w:tcBorders>
              <w:top w:val="single" w:color="auto" w:sz="4" w:space="0"/>
            </w:tcBorders>
            <w:tcW w:w="3014" w:type="pct"/>
            <w:vAlign w:val="center"/>
            <w:textDirection w:val="lrTb"/>
            <w:noWrap w:val="false"/>
          </w:tcPr>
          <w:p>
            <w:pPr>
              <w:pStyle w:val="1195"/>
              <w:ind w:left="115" w:right="152" w:firstLine="3"/>
              <w:spacing w:before="84" w:line="267" w:lineRule="auto"/>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投标人所投品牌电梯为ISO能效等级A及以上、VDI能效等级A及以上，得2分。</w:t>
            </w:r>
            <w:r/>
          </w:p>
          <w:p>
            <w:pPr>
              <w:jc w:val="left"/>
              <w:spacing w:line="360" w:lineRule="exact"/>
              <w:widowControl/>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注：投标文件中需提供相关证明材料原件扫描件，否则不得分。</w:t>
            </w:r>
            <w:r/>
          </w:p>
        </w:tc>
      </w:tr>
      <w:tr>
        <w:trPr>
          <w:trHeight w:val="1140"/>
        </w:trPr>
        <w:tc>
          <w:tcPr>
            <w:tcW w:w="519" w:type="pct"/>
            <w:vAlign w:val="center"/>
            <w:vMerge w:val="restart"/>
            <w:textDirection w:val="lrTb"/>
            <w:noWrap w:val="false"/>
          </w:tcPr>
          <w:p>
            <w:pPr>
              <w:jc w:val="center"/>
              <w:spacing w:line="360" w:lineRule="exact"/>
              <w:widowControl/>
              <w:rPr>
                <w:rFonts w:hint="eastAsia" w:ascii="Times New Roman" w:hAnsi="Times New Roman" w:cs="宋体"/>
                <w:color w:val="auto"/>
                <w:sz w:val="24"/>
                <w:szCs w:val="24"/>
                <w:highlight w:val="none"/>
                <w:lang w:val="en-US" w:eastAsia="zh-CN"/>
              </w:rPr>
            </w:pPr>
            <w:r>
              <w:rPr>
                <w:rFonts w:hint="eastAsia" w:ascii="Times New Roman" w:hAnsi="Times New Roman" w:cs="宋体"/>
                <w:color w:val="auto"/>
                <w:sz w:val="24"/>
                <w:szCs w:val="24"/>
                <w:highlight w:val="none"/>
                <w:lang w:val="en-US" w:eastAsia="zh-CN"/>
              </w:rPr>
              <w:t xml:space="preserve">企业</w:t>
            </w:r>
            <w:r/>
          </w:p>
          <w:p>
            <w:pPr>
              <w:jc w:val="center"/>
              <w:spacing w:line="360" w:lineRule="exact"/>
              <w:widowControl/>
              <w:rPr>
                <w:rFonts w:ascii="Times New Roman" w:hAnsi="Times New Roman" w:eastAsia="宋体" w:cs="宋体"/>
                <w:color w:val="auto"/>
                <w:sz w:val="24"/>
                <w:szCs w:val="24"/>
                <w:highlight w:val="none"/>
                <w:lang w:val="en-US" w:eastAsia="zh-CN"/>
              </w:rPr>
            </w:pPr>
            <w:r>
              <w:rPr>
                <w:rFonts w:hint="eastAsia" w:ascii="Times New Roman" w:hAnsi="Times New Roman" w:cs="宋体"/>
                <w:color w:val="auto"/>
                <w:sz w:val="24"/>
                <w:szCs w:val="24"/>
                <w:highlight w:val="none"/>
                <w:lang w:val="en-US" w:eastAsia="zh-CN"/>
              </w:rPr>
              <w:t xml:space="preserve">实力</w:t>
            </w:r>
            <w:r/>
          </w:p>
        </w:tc>
        <w:tc>
          <w:tcPr>
            <w:tcW w:w="844" w:type="pct"/>
            <w:vAlign w:val="center"/>
            <w:textDirection w:val="lrTb"/>
            <w:noWrap w:val="false"/>
          </w:tcPr>
          <w:p>
            <w:pPr>
              <w:jc w:val="center"/>
              <w:spacing w:line="360" w:lineRule="exac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企业业绩</w:t>
            </w:r>
            <w:r/>
          </w:p>
        </w:tc>
        <w:tc>
          <w:tcPr>
            <w:tcW w:w="621" w:type="pct"/>
            <w:vAlign w:val="center"/>
            <w:textDirection w:val="lrTb"/>
            <w:noWrap w:val="false"/>
          </w:tcPr>
          <w:p>
            <w:pPr>
              <w:jc w:val="center"/>
              <w:spacing w:line="360" w:lineRule="exac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lang w:val="en-US" w:eastAsia="zh-CN"/>
              </w:rPr>
              <w:t xml:space="preserve">3.</w:t>
            </w:r>
            <w:r>
              <w:rPr>
                <w:rFonts w:hint="eastAsia" w:ascii="Times New Roman" w:hAnsi="Times New Roman" w:cs="宋体"/>
                <w:color w:val="auto"/>
                <w:sz w:val="24"/>
                <w:szCs w:val="24"/>
                <w:highlight w:val="none"/>
              </w:rPr>
              <w:t xml:space="preserve">00分</w:t>
            </w:r>
            <w:r/>
          </w:p>
        </w:tc>
        <w:tc>
          <w:tcPr>
            <w:tcW w:w="3014" w:type="pct"/>
            <w:vAlign w:val="center"/>
            <w:textDirection w:val="lrTb"/>
            <w:noWrap w:val="false"/>
          </w:tcPr>
          <w:p>
            <w:pPr>
              <w:jc w:val="left"/>
              <w:keepLines w:val="0"/>
              <w:keepNext w:val="0"/>
              <w:widowControl/>
              <w:rPr>
                <w:rFonts w:hint="eastAsia" w:ascii="Times New Roman" w:hAnsi="Times New Roman" w:cs="宋体"/>
                <w:color w:val="auto"/>
                <w:sz w:val="24"/>
                <w:szCs w:val="24"/>
                <w:highlight w:val="none"/>
              </w:rPr>
              <w:suppressLineNumbers w:val="0"/>
            </w:pPr>
            <w:r>
              <w:rPr>
                <w:rFonts w:hint="eastAsia" w:ascii="宋体" w:hAnsi="宋体" w:eastAsia="宋体" w:cs="宋体"/>
                <w:color w:val="000000"/>
                <w:sz w:val="24"/>
                <w:szCs w:val="24"/>
                <w:lang w:val="en-US" w:eastAsia="zh-CN" w:bidi="ar"/>
              </w:rPr>
              <w:t xml:space="preserve">投标供应商或所投电梯制造商</w:t>
            </w:r>
            <w:r>
              <w:rPr>
                <w:rFonts w:hint="eastAsia" w:ascii="Times New Roman" w:hAnsi="Times New Roman" w:cs="宋体"/>
                <w:color w:val="auto"/>
                <w:sz w:val="24"/>
                <w:szCs w:val="24"/>
                <w:highlight w:val="none"/>
              </w:rPr>
              <w:t xml:space="preserve">自202</w:t>
            </w:r>
            <w:r>
              <w:rPr>
                <w:rFonts w:hint="eastAsia" w:ascii="Times New Roman" w:hAnsi="Times New Roman" w:cs="宋体"/>
                <w:color w:val="auto"/>
                <w:sz w:val="24"/>
                <w:szCs w:val="24"/>
                <w:highlight w:val="none"/>
                <w:lang w:val="en-US" w:eastAsia="zh-CN"/>
              </w:rPr>
              <w:t xml:space="preserve">2</w:t>
            </w:r>
            <w:r>
              <w:rPr>
                <w:rFonts w:hint="eastAsia" w:ascii="Times New Roman" w:hAnsi="Times New Roman" w:cs="宋体"/>
                <w:color w:val="auto"/>
                <w:sz w:val="24"/>
                <w:szCs w:val="24"/>
                <w:highlight w:val="none"/>
              </w:rPr>
              <w:t xml:space="preserve">年1月1日以来（以合同签订时间为准）承担过</w:t>
            </w:r>
            <w:r>
              <w:rPr>
                <w:rFonts w:hint="eastAsia" w:ascii="Times New Roman" w:hAnsi="Times New Roman" w:cs="宋体"/>
                <w:color w:val="auto"/>
                <w:sz w:val="24"/>
                <w:szCs w:val="24"/>
                <w:highlight w:val="none"/>
                <w:lang w:val="en-US" w:eastAsia="zh-CN"/>
              </w:rPr>
              <w:t xml:space="preserve">与所投电梯品牌一致的</w:t>
            </w:r>
            <w:r>
              <w:rPr>
                <w:rFonts w:hint="eastAsia" w:ascii="Times New Roman" w:hAnsi="Times New Roman" w:cs="宋体"/>
                <w:color w:val="auto"/>
                <w:sz w:val="24"/>
                <w:szCs w:val="24"/>
                <w:highlight w:val="none"/>
              </w:rPr>
              <w:t xml:space="preserve">类似</w:t>
            </w:r>
            <w:r>
              <w:rPr>
                <w:rFonts w:hint="eastAsia" w:ascii="Times New Roman" w:hAnsi="Times New Roman" w:cs="宋体"/>
                <w:color w:val="auto"/>
                <w:sz w:val="24"/>
                <w:szCs w:val="24"/>
                <w:highlight w:val="none"/>
                <w:lang w:val="en-US" w:eastAsia="zh-CN"/>
              </w:rPr>
              <w:t xml:space="preserve">加装或拆装（旧梯拆除后重新安装）电梯成功案例的(乘客</w:t>
            </w:r>
            <w:r>
              <w:rPr>
                <w:rFonts w:hint="default" w:ascii="Times New Roman" w:hAnsi="Times New Roman" w:cs="宋体"/>
                <w:color w:val="auto"/>
                <w:sz w:val="24"/>
                <w:szCs w:val="24"/>
                <w:highlight w:val="none"/>
              </w:rPr>
              <w:t xml:space="preserve">电梯采购及安装项目</w:t>
            </w:r>
            <w:r>
              <w:rPr>
                <w:rFonts w:hint="eastAsia" w:ascii="Times New Roman" w:hAnsi="Times New Roman" w:cs="宋体"/>
                <w:color w:val="auto"/>
                <w:sz w:val="24"/>
                <w:szCs w:val="24"/>
                <w:highlight w:val="none"/>
                <w:lang w:val="en-US" w:eastAsia="zh-CN"/>
              </w:rPr>
              <w:t xml:space="preserve">)</w:t>
            </w:r>
            <w:r>
              <w:rPr>
                <w:rFonts w:hint="eastAsia" w:ascii="Times New Roman" w:hAnsi="Times New Roman" w:cs="宋体"/>
                <w:color w:val="auto"/>
                <w:sz w:val="24"/>
                <w:szCs w:val="24"/>
                <w:highlight w:val="none"/>
              </w:rPr>
              <w:t xml:space="preserve">，每有一个得</w:t>
            </w:r>
            <w:r>
              <w:rPr>
                <w:rFonts w:hint="eastAsia" w:ascii="Times New Roman" w:hAnsi="Times New Roman" w:cs="宋体"/>
                <w:color w:val="auto"/>
                <w:sz w:val="24"/>
                <w:szCs w:val="24"/>
                <w:highlight w:val="none"/>
                <w:lang w:val="en-US" w:eastAsia="zh-CN"/>
              </w:rPr>
              <w:t xml:space="preserve">1</w:t>
            </w:r>
            <w:r>
              <w:rPr>
                <w:rFonts w:hint="eastAsia" w:ascii="Times New Roman" w:hAnsi="Times New Roman" w:cs="宋体"/>
                <w:color w:val="auto"/>
                <w:sz w:val="24"/>
                <w:szCs w:val="24"/>
                <w:highlight w:val="none"/>
              </w:rPr>
              <w:t xml:space="preserve">分，最高得</w:t>
            </w:r>
            <w:r>
              <w:rPr>
                <w:rFonts w:hint="eastAsia" w:ascii="Times New Roman" w:hAnsi="Times New Roman" w:cs="宋体"/>
                <w:color w:val="auto"/>
                <w:sz w:val="24"/>
                <w:szCs w:val="24"/>
                <w:highlight w:val="none"/>
                <w:lang w:val="en-US" w:eastAsia="zh-CN"/>
              </w:rPr>
              <w:t xml:space="preserve">3</w:t>
            </w:r>
            <w:r>
              <w:rPr>
                <w:rFonts w:hint="eastAsia" w:ascii="Times New Roman" w:hAnsi="Times New Roman" w:cs="宋体"/>
                <w:color w:val="auto"/>
                <w:sz w:val="24"/>
                <w:szCs w:val="24"/>
                <w:highlight w:val="none"/>
              </w:rPr>
              <w:t xml:space="preserve">分。</w:t>
            </w:r>
            <w:r/>
          </w:p>
          <w:p>
            <w:pPr>
              <w:jc w:val="left"/>
              <w:spacing w:line="360" w:lineRule="exact"/>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注：1、提供合同、验收证明材料</w:t>
            </w:r>
            <w:bookmarkStart w:id="171" w:name="_GoBack"/>
            <w:r/>
            <w:bookmarkEnd w:id="171"/>
            <w:r>
              <w:rPr>
                <w:rFonts w:hint="eastAsia" w:ascii="Times New Roman" w:hAnsi="Times New Roman" w:cs="宋体"/>
                <w:color w:val="auto"/>
                <w:sz w:val="24"/>
                <w:szCs w:val="24"/>
                <w:highlight w:val="none"/>
                <w:lang w:val="en-US" w:eastAsia="zh-CN"/>
              </w:rPr>
              <w:t xml:space="preserve">原件扫描件</w:t>
            </w:r>
            <w:r>
              <w:rPr>
                <w:rFonts w:hint="eastAsia" w:ascii="Times New Roman" w:hAnsi="Times New Roman" w:cs="宋体"/>
                <w:color w:val="auto"/>
                <w:sz w:val="24"/>
                <w:szCs w:val="24"/>
                <w:highlight w:val="none"/>
              </w:rPr>
              <w:t xml:space="preserve">，</w:t>
            </w:r>
            <w:r>
              <w:rPr>
                <w:rFonts w:hint="eastAsia" w:ascii="Times New Roman" w:hAnsi="Times New Roman" w:cs="宋体"/>
                <w:color w:val="auto"/>
                <w:sz w:val="24"/>
                <w:szCs w:val="24"/>
                <w:highlight w:val="none"/>
                <w:lang w:val="en-US" w:eastAsia="zh-CN"/>
              </w:rPr>
              <w:t xml:space="preserve">时间、电梯品牌需在合同中体现</w:t>
            </w:r>
            <w:r>
              <w:rPr>
                <w:rFonts w:hint="eastAsia" w:ascii="Times New Roman" w:hAnsi="Times New Roman" w:cs="宋体"/>
                <w:color w:val="auto"/>
                <w:sz w:val="24"/>
                <w:szCs w:val="24"/>
                <w:highlight w:val="none"/>
              </w:rPr>
              <w:t xml:space="preserve">；2、中标人提供的</w:t>
            </w:r>
            <w:r>
              <w:rPr>
                <w:rFonts w:hint="eastAsia" w:ascii="Times New Roman" w:hAnsi="Times New Roman" w:cs="宋体"/>
                <w:color w:val="auto"/>
                <w:sz w:val="24"/>
                <w:szCs w:val="24"/>
                <w:highlight w:val="none"/>
                <w:lang w:val="en-US" w:eastAsia="zh-CN"/>
              </w:rPr>
              <w:t xml:space="preserve">有关</w:t>
            </w:r>
            <w:r>
              <w:rPr>
                <w:rFonts w:hint="eastAsia" w:ascii="Times New Roman" w:hAnsi="Times New Roman" w:cs="宋体"/>
                <w:color w:val="auto"/>
                <w:sz w:val="24"/>
                <w:szCs w:val="24"/>
                <w:highlight w:val="none"/>
              </w:rPr>
              <w:t xml:space="preserve">业绩将随中标结果同步公开。 </w:t>
            </w:r>
            <w:r/>
          </w:p>
        </w:tc>
      </w:tr>
      <w:tr>
        <w:trPr>
          <w:trHeight w:val="3168"/>
        </w:trPr>
        <w:tc>
          <w:tcPr>
            <w:tcW w:w="519" w:type="pct"/>
            <w:vAlign w:val="center"/>
            <w:vMerge w:val="continue"/>
            <w:textDirection w:val="lrTb"/>
            <w:noWrap w:val="false"/>
          </w:tcPr>
          <w:p>
            <w:pPr>
              <w:jc w:val="center"/>
              <w:spacing w:line="360" w:lineRule="exact"/>
              <w:widowControl/>
              <w:rPr>
                <w:rFonts w:hint="eastAsia" w:ascii="Times New Roman" w:hAnsi="Times New Roman" w:cs="宋体"/>
                <w:color w:val="auto"/>
                <w:sz w:val="24"/>
                <w:szCs w:val="24"/>
                <w:highlight w:val="none"/>
                <w:lang w:val="en-US" w:eastAsia="zh-CN"/>
              </w:rPr>
            </w:pPr>
            <w:r>
              <w:rPr>
                <w:rFonts w:hint="eastAsia" w:ascii="Times New Roman" w:hAnsi="Times New Roman" w:cs="宋体"/>
                <w:color w:val="auto"/>
                <w:sz w:val="24"/>
                <w:szCs w:val="24"/>
                <w:highlight w:val="none"/>
                <w:lang w:val="en-US" w:eastAsia="zh-CN"/>
              </w:rPr>
            </w:r>
            <w:r/>
          </w:p>
        </w:tc>
        <w:tc>
          <w:tcPr>
            <w:tcW w:w="844" w:type="pct"/>
            <w:vAlign w:val="center"/>
            <w:textDirection w:val="lrTb"/>
            <w:noWrap w:val="false"/>
          </w:tcPr>
          <w:p>
            <w:pPr>
              <w:jc w:val="center"/>
              <w:spacing w:line="360" w:lineRule="exact"/>
              <w:widowControl/>
              <w:rPr>
                <w:rFonts w:hint="default" w:ascii="Times New Roman" w:hAnsi="Times New Roman" w:eastAsia="宋体" w:cs="宋体"/>
                <w:color w:val="auto"/>
                <w:sz w:val="24"/>
                <w:szCs w:val="24"/>
                <w:highlight w:val="none"/>
                <w:lang w:val="en-US" w:eastAsia="zh-CN"/>
              </w:rPr>
            </w:pPr>
            <w:r>
              <w:rPr>
                <w:rFonts w:hint="eastAsia" w:ascii="Times New Roman" w:hAnsi="Times New Roman" w:cs="宋体"/>
                <w:color w:val="auto"/>
                <w:sz w:val="24"/>
                <w:szCs w:val="24"/>
                <w:highlight w:val="none"/>
                <w:lang w:val="en-US" w:eastAsia="zh-CN"/>
              </w:rPr>
              <w:t xml:space="preserve">相关证书</w:t>
            </w:r>
            <w:r/>
          </w:p>
        </w:tc>
        <w:tc>
          <w:tcPr>
            <w:tcW w:w="621" w:type="pct"/>
            <w:vAlign w:val="center"/>
            <w:textDirection w:val="lrTb"/>
            <w:noWrap w:val="false"/>
          </w:tcPr>
          <w:p>
            <w:pPr>
              <w:jc w:val="center"/>
              <w:spacing w:line="360" w:lineRule="exact"/>
              <w:widowControl/>
              <w:rPr>
                <w:rFonts w:hint="default" w:ascii="Times New Roman" w:hAnsi="Times New Roman" w:cs="宋体"/>
                <w:color w:val="auto"/>
                <w:sz w:val="24"/>
                <w:szCs w:val="24"/>
                <w:highlight w:val="none"/>
                <w:lang w:val="en-US" w:eastAsia="zh-CN"/>
              </w:rPr>
            </w:pPr>
            <w:r>
              <w:rPr>
                <w:rFonts w:hint="eastAsia" w:ascii="Times New Roman" w:hAnsi="Times New Roman" w:cs="宋体"/>
                <w:color w:val="auto"/>
                <w:sz w:val="24"/>
                <w:szCs w:val="24"/>
                <w:highlight w:val="none"/>
                <w:lang w:val="en-US" w:eastAsia="zh-CN"/>
              </w:rPr>
              <w:t xml:space="preserve">3.00分</w:t>
            </w:r>
            <w:r/>
          </w:p>
        </w:tc>
        <w:tc>
          <w:tcPr>
            <w:tcW w:w="3014" w:type="pct"/>
            <w:vAlign w:val="center"/>
            <w:textDirection w:val="lrTb"/>
            <w:noWrap w:val="false"/>
          </w:tcPr>
          <w:p>
            <w:pPr>
              <w:numPr>
                <w:ilvl w:val="0"/>
                <w:numId w:val="0"/>
              </w:numPr>
              <w:jc w:val="left"/>
              <w:spacing w:line="360" w:lineRule="exact"/>
              <w:widowControl/>
              <w:rPr>
                <w:rFonts w:hint="default" w:ascii="Times New Roman" w:hAnsi="Times New Roman" w:cs="宋体"/>
                <w:color w:val="auto"/>
                <w:sz w:val="24"/>
                <w:szCs w:val="24"/>
                <w:highlight w:val="none"/>
                <w:lang w:val="en-US" w:eastAsia="zh-CN"/>
              </w:rPr>
            </w:pPr>
            <w:r>
              <w:rPr>
                <w:rFonts w:hint="eastAsia" w:ascii="Times New Roman" w:hAnsi="Times New Roman" w:cs="宋体"/>
                <w:color w:val="auto"/>
                <w:sz w:val="24"/>
                <w:szCs w:val="24"/>
                <w:highlight w:val="none"/>
                <w:lang w:val="en-US" w:eastAsia="zh-CN"/>
              </w:rPr>
              <w:t xml:space="preserve">投标供应商或所投电梯制造商具有有效期内的质量管理体系认证证书、环境管理体系认证证书、职业健康安全管理体系认证证书，每有一个证书得1分，最高得3分。注：相关证书应具有国家市场监督管理总局全国认证认可信息公共服务平台查询有效页面截图；</w:t>
            </w:r>
            <w:r/>
          </w:p>
          <w:p>
            <w:pPr>
              <w:numPr>
                <w:ilvl w:val="0"/>
                <w:numId w:val="0"/>
              </w:numPr>
              <w:jc w:val="left"/>
              <w:spacing w:line="360" w:lineRule="exact"/>
              <w:widowControl/>
              <w:rPr>
                <w:rFonts w:hint="default" w:ascii="Times New Roman" w:hAnsi="Times New Roman" w:cs="宋体"/>
                <w:color w:val="auto"/>
                <w:sz w:val="24"/>
                <w:szCs w:val="24"/>
                <w:highlight w:val="none"/>
                <w:lang w:val="en-US" w:eastAsia="zh-CN"/>
              </w:rPr>
            </w:pPr>
            <w:r>
              <w:rPr>
                <w:rFonts w:hint="eastAsia" w:ascii="Times New Roman" w:hAnsi="Times New Roman" w:cs="宋体"/>
                <w:color w:val="auto"/>
                <w:sz w:val="24"/>
                <w:szCs w:val="24"/>
                <w:highlight w:val="none"/>
              </w:rPr>
              <w:t xml:space="preserve">注：</w:t>
            </w:r>
            <w:r>
              <w:rPr>
                <w:rFonts w:hint="eastAsia" w:ascii="Times New Roman" w:hAnsi="Times New Roman" w:cs="宋体"/>
                <w:color w:val="auto"/>
                <w:sz w:val="24"/>
                <w:szCs w:val="24"/>
                <w:highlight w:val="none"/>
                <w:lang w:val="en-US" w:eastAsia="zh-CN"/>
              </w:rPr>
              <w:t xml:space="preserve">中标人提供的有关证书将随中标结果同步公开</w:t>
            </w:r>
            <w:r/>
          </w:p>
        </w:tc>
      </w:tr>
      <w:tr>
        <w:trPr>
          <w:trHeight w:val="855"/>
        </w:trPr>
        <w:tc>
          <w:tcPr>
            <w:tcW w:w="519" w:type="pct"/>
            <w:vAlign w:val="center"/>
            <w:vMerge w:val="restart"/>
            <w:textDirection w:val="lrTb"/>
            <w:noWrap w:val="false"/>
          </w:tcPr>
          <w:p>
            <w:pPr>
              <w:jc w:val="left"/>
              <w:spacing w:line="360" w:lineRule="exact"/>
              <w:widowControl/>
              <w:rPr>
                <w:rFonts w:hint="eastAsia"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实施</w:t>
            </w:r>
            <w:r/>
          </w:p>
          <w:p>
            <w:pPr>
              <w:jc w:val="left"/>
              <w:spacing w:line="360" w:lineRule="exact"/>
              <w:widowControl/>
              <w:rPr>
                <w:rFonts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方案</w:t>
            </w:r>
            <w:r/>
          </w:p>
        </w:tc>
        <w:tc>
          <w:tcPr>
            <w:tcW w:w="844" w:type="pct"/>
            <w:vAlign w:val="center"/>
            <w:textDirection w:val="lrTb"/>
            <w:noWrap w:val="false"/>
          </w:tcPr>
          <w:p>
            <w:pPr>
              <w:jc w:val="left"/>
              <w:spacing w:line="360" w:lineRule="exact"/>
              <w:widowControl/>
              <w:rPr>
                <w:rFonts w:hint="eastAsia"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旧梯拆除</w:t>
            </w:r>
            <w:r>
              <w:rPr>
                <w:rFonts w:hint="eastAsia" w:ascii="Times New Roman" w:hAnsi="Times New Roman" w:cs="宋体"/>
                <w:color w:val="auto"/>
                <w:sz w:val="24"/>
                <w:szCs w:val="24"/>
                <w:highlight w:val="none"/>
                <w:lang w:val="en-US" w:eastAsia="zh-CN"/>
              </w:rPr>
              <w:t xml:space="preserve">专项</w:t>
            </w:r>
            <w:r>
              <w:rPr>
                <w:rFonts w:hint="eastAsia" w:ascii="Times New Roman" w:hAnsi="Times New Roman" w:eastAsia="宋体" w:cs="宋体"/>
                <w:color w:val="auto"/>
                <w:sz w:val="24"/>
                <w:szCs w:val="24"/>
                <w:highlight w:val="none"/>
                <w:lang w:val="en-US" w:eastAsia="zh-CN"/>
              </w:rPr>
              <w:t xml:space="preserve">方案</w:t>
            </w:r>
            <w:r/>
          </w:p>
        </w:tc>
        <w:tc>
          <w:tcPr>
            <w:tcW w:w="621" w:type="pct"/>
            <w:vAlign w:val="center"/>
            <w:textDirection w:val="lrTb"/>
            <w:noWrap w:val="false"/>
          </w:tcPr>
          <w:p>
            <w:pPr>
              <w:jc w:val="center"/>
              <w:spacing w:line="360" w:lineRule="exact"/>
              <w:widowControl/>
              <w:rPr>
                <w:rFonts w:hint="eastAsia" w:ascii="Times New Roman" w:hAnsi="Times New Roman" w:eastAsia="宋体" w:cs="宋体"/>
                <w:color w:val="auto"/>
                <w:sz w:val="24"/>
                <w:szCs w:val="24"/>
                <w:highlight w:val="none"/>
                <w:lang w:val="en-US" w:eastAsia="zh-CN"/>
              </w:rPr>
            </w:pPr>
            <w:r>
              <w:rPr>
                <w:rFonts w:hint="eastAsia" w:ascii="Times New Roman" w:hAnsi="Times New Roman" w:cs="宋体"/>
                <w:color w:val="auto"/>
                <w:sz w:val="24"/>
                <w:szCs w:val="24"/>
                <w:highlight w:val="none"/>
                <w:lang w:val="en-US" w:eastAsia="zh-CN"/>
              </w:rPr>
              <w:t xml:space="preserve">6</w:t>
            </w:r>
            <w:r>
              <w:rPr>
                <w:rFonts w:hint="eastAsia" w:ascii="Times New Roman" w:hAnsi="Times New Roman" w:eastAsia="宋体" w:cs="宋体"/>
                <w:color w:val="auto"/>
                <w:sz w:val="24"/>
                <w:szCs w:val="24"/>
                <w:highlight w:val="none"/>
              </w:rPr>
              <w:t xml:space="preserve">.00分</w:t>
            </w:r>
            <w:r/>
          </w:p>
        </w:tc>
        <w:tc>
          <w:tcPr>
            <w:tcW w:w="3014" w:type="pct"/>
            <w:vAlign w:val="center"/>
            <w:textDirection w:val="lrTb"/>
            <w:noWrap w:val="false"/>
          </w:tcPr>
          <w:p>
            <w:pPr>
              <w:jc w:val="left"/>
              <w:spacing w:line="360" w:lineRule="exact"/>
              <w:widowControl/>
              <w:rPr>
                <w:rFonts w:hint="eastAsia"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rPr>
              <w:t xml:space="preserve">针对招标文件“第四</w:t>
            </w:r>
            <w:r>
              <w:rPr>
                <w:rFonts w:hint="eastAsia" w:ascii="Times New Roman" w:hAnsi="Times New Roman" w:cs="宋体"/>
                <w:color w:val="auto"/>
                <w:sz w:val="24"/>
                <w:szCs w:val="24"/>
                <w:highlight w:val="none"/>
                <w:lang w:eastAsia="zh-CN"/>
              </w:rPr>
              <w:t xml:space="preserve">章</w:t>
            </w:r>
            <w:r>
              <w:rPr>
                <w:rFonts w:hint="eastAsia" w:ascii="Times New Roman" w:hAnsi="Times New Roman" w:eastAsia="宋体" w:cs="宋体"/>
                <w:color w:val="auto"/>
                <w:sz w:val="24"/>
                <w:szCs w:val="24"/>
                <w:highlight w:val="none"/>
              </w:rPr>
              <w:t xml:space="preserve">、采购需求”中的“</w:t>
            </w:r>
            <w:r>
              <w:rPr>
                <w:rFonts w:hint="eastAsia" w:ascii="Times New Roman" w:hAnsi="Times New Roman" w:eastAsia="宋体" w:cs="宋体"/>
                <w:color w:val="auto"/>
                <w:sz w:val="24"/>
                <w:szCs w:val="24"/>
                <w:highlight w:val="none"/>
                <w:lang w:val="en-US" w:eastAsia="zh-CN"/>
              </w:rPr>
              <w:t xml:space="preserve">六</w:t>
            </w:r>
            <w:r>
              <w:rPr>
                <w:rFonts w:hint="eastAsia" w:ascii="Times New Roman" w:hAnsi="Times New Roman" w:eastAsia="宋体" w:cs="宋体"/>
                <w:color w:val="auto"/>
                <w:sz w:val="24"/>
                <w:szCs w:val="24"/>
                <w:highlight w:val="none"/>
              </w:rPr>
              <w:t xml:space="preserve">、项目实施方案-2、旧梯拆除专项施工方案”提供</w:t>
            </w:r>
            <w:r>
              <w:rPr>
                <w:rFonts w:hint="eastAsia" w:ascii="Times New Roman" w:hAnsi="Times New Roman" w:eastAsia="宋体" w:cs="宋体"/>
                <w:color w:val="auto"/>
                <w:sz w:val="24"/>
                <w:szCs w:val="24"/>
                <w:highlight w:val="none"/>
                <w:lang w:val="en-US" w:eastAsia="zh-CN"/>
              </w:rPr>
              <w:t xml:space="preserve">旧梯拆除方案</w:t>
            </w:r>
            <w:r>
              <w:rPr>
                <w:rFonts w:hint="eastAsia" w:ascii="Times New Roman" w:hAnsi="Times New Roman" w:cs="宋体"/>
                <w:color w:val="auto"/>
                <w:sz w:val="24"/>
                <w:szCs w:val="24"/>
                <w:highlight w:val="none"/>
                <w:lang w:eastAsia="zh-CN"/>
              </w:rPr>
              <w:t xml:space="preserve">（</w:t>
            </w:r>
            <w:r>
              <w:rPr>
                <w:rFonts w:hint="eastAsia" w:ascii="Times New Roman" w:hAnsi="Times New Roman" w:cs="宋体"/>
                <w:color w:val="auto"/>
                <w:sz w:val="24"/>
                <w:szCs w:val="24"/>
                <w:highlight w:val="none"/>
                <w:lang w:val="en-US" w:eastAsia="zh-CN"/>
              </w:rPr>
              <w:t xml:space="preserve">应考虑老旧小区改造的特殊性，拆除施工过程中的居民安全保障</w:t>
            </w:r>
            <w:r>
              <w:rPr>
                <w:rFonts w:hint="eastAsia" w:ascii="Times New Roman" w:hAnsi="Times New Roman" w:cs="宋体"/>
                <w:color w:val="auto"/>
                <w:sz w:val="24"/>
                <w:szCs w:val="24"/>
                <w:highlight w:val="none"/>
                <w:lang w:eastAsia="zh-CN"/>
              </w:rPr>
              <w:t xml:space="preserve">）。</w:t>
            </w:r>
            <w:r>
              <w:rPr>
                <w:rFonts w:hint="eastAsia" w:ascii="Times New Roman" w:hAnsi="Times New Roman" w:cs="宋体"/>
                <w:color w:val="auto"/>
                <w:sz w:val="24"/>
                <w:szCs w:val="24"/>
                <w:highlight w:val="none"/>
                <w:lang w:val="en-US" w:eastAsia="zh-CN"/>
              </w:rPr>
              <w:t xml:space="preserve">方案内容详细且经验丰富，切实可行，</w:t>
            </w:r>
            <w:r>
              <w:rPr>
                <w:rFonts w:hint="eastAsia" w:ascii="Times New Roman" w:hAnsi="Times New Roman" w:eastAsia="宋体" w:cs="宋体"/>
                <w:color w:val="auto"/>
                <w:sz w:val="24"/>
                <w:szCs w:val="24"/>
                <w:highlight w:val="none"/>
              </w:rPr>
              <w:t xml:space="preserve">优于采购需求得</w:t>
            </w:r>
            <w:r>
              <w:rPr>
                <w:rFonts w:hint="eastAsia" w:ascii="Times New Roman" w:hAnsi="Times New Roman" w:cs="宋体"/>
                <w:color w:val="auto"/>
                <w:sz w:val="24"/>
                <w:szCs w:val="24"/>
                <w:highlight w:val="none"/>
                <w:lang w:val="en-US" w:eastAsia="zh-CN"/>
              </w:rPr>
              <w:t xml:space="preserve">6</w:t>
            </w:r>
            <w:r>
              <w:rPr>
                <w:rFonts w:hint="eastAsia" w:ascii="Times New Roman" w:hAnsi="Times New Roman" w:eastAsia="宋体" w:cs="宋体"/>
                <w:color w:val="auto"/>
                <w:sz w:val="24"/>
                <w:szCs w:val="24"/>
                <w:highlight w:val="none"/>
              </w:rPr>
              <w:t xml:space="preserve">分；</w:t>
            </w:r>
            <w:r>
              <w:rPr>
                <w:rFonts w:hint="eastAsia" w:ascii="Times New Roman" w:hAnsi="Times New Roman" w:cs="宋体"/>
                <w:color w:val="auto"/>
                <w:sz w:val="24"/>
                <w:szCs w:val="24"/>
                <w:highlight w:val="none"/>
                <w:lang w:val="en-US" w:eastAsia="zh-CN"/>
              </w:rPr>
              <w:t xml:space="preserve">能</w:t>
            </w:r>
            <w:r>
              <w:rPr>
                <w:rFonts w:hint="eastAsia" w:ascii="Times New Roman" w:hAnsi="Times New Roman" w:eastAsia="宋体" w:cs="宋体"/>
                <w:color w:val="auto"/>
                <w:sz w:val="24"/>
                <w:szCs w:val="24"/>
                <w:highlight w:val="none"/>
              </w:rPr>
              <w:t xml:space="preserve">满足</w:t>
            </w:r>
            <w:r>
              <w:rPr>
                <w:rFonts w:hint="eastAsia" w:ascii="Times New Roman" w:hAnsi="Times New Roman" w:cs="宋体"/>
                <w:color w:val="auto"/>
                <w:sz w:val="24"/>
                <w:szCs w:val="24"/>
                <w:highlight w:val="none"/>
                <w:lang w:val="en-US" w:eastAsia="zh-CN"/>
              </w:rPr>
              <w:t xml:space="preserve">实施需要的得3分；方案简单无经验，基本能满足项 目实施需要的得1分；</w:t>
            </w:r>
            <w:r>
              <w:rPr>
                <w:rFonts w:hint="eastAsia" w:ascii="Times New Roman" w:hAnsi="Times New Roman" w:eastAsia="宋体" w:cs="宋体"/>
                <w:color w:val="auto"/>
                <w:sz w:val="24"/>
                <w:szCs w:val="24"/>
                <w:highlight w:val="none"/>
              </w:rPr>
              <w:t xml:space="preserve">没有内容者不得分。</w:t>
            </w:r>
            <w:r/>
          </w:p>
        </w:tc>
      </w:tr>
      <w:tr>
        <w:trPr>
          <w:trHeight w:val="855"/>
        </w:trPr>
        <w:tc>
          <w:tcPr>
            <w:tcW w:w="519" w:type="pct"/>
            <w:vAlign w:val="center"/>
            <w:vMerge w:val="continue"/>
            <w:textDirection w:val="lrTb"/>
            <w:noWrap w:val="false"/>
          </w:tcPr>
          <w:p>
            <w:pPr>
              <w:jc w:val="left"/>
              <w:spacing w:line="360" w:lineRule="exact"/>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W w:w="844" w:type="pct"/>
            <w:vAlign w:val="center"/>
            <w:textDirection w:val="lrTb"/>
            <w:noWrap w:val="false"/>
          </w:tcPr>
          <w:p>
            <w:pPr>
              <w:jc w:val="left"/>
              <w:spacing w:line="360" w:lineRule="exact"/>
              <w:widowControl/>
              <w:rPr>
                <w:rFonts w:hint="eastAsia"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rPr>
              <w:t xml:space="preserve">进度安排及保障措施</w:t>
            </w:r>
            <w:r/>
          </w:p>
        </w:tc>
        <w:tc>
          <w:tcPr>
            <w:tcW w:w="621" w:type="pct"/>
            <w:vAlign w:val="center"/>
            <w:textDirection w:val="lrTb"/>
            <w:noWrap w:val="false"/>
          </w:tcPr>
          <w:p>
            <w:pPr>
              <w:jc w:val="center"/>
              <w:spacing w:line="360" w:lineRule="exact"/>
              <w:widowControl/>
              <w:rPr>
                <w:rFonts w:hint="eastAsia" w:ascii="Times New Roman" w:hAnsi="Times New Roman" w:eastAsia="宋体" w:cs="宋体"/>
                <w:color w:val="auto"/>
                <w:sz w:val="24"/>
                <w:szCs w:val="24"/>
                <w:highlight w:val="none"/>
                <w:lang w:val="en-US" w:eastAsia="zh-CN"/>
              </w:rPr>
            </w:pPr>
            <w:r>
              <w:rPr>
                <w:rFonts w:hint="eastAsia" w:ascii="Times New Roman" w:hAnsi="Times New Roman" w:cs="宋体"/>
                <w:color w:val="auto"/>
                <w:sz w:val="24"/>
                <w:szCs w:val="24"/>
                <w:highlight w:val="none"/>
                <w:lang w:val="en-US" w:eastAsia="zh-CN"/>
              </w:rPr>
              <w:t xml:space="preserve">6</w:t>
            </w:r>
            <w:r>
              <w:rPr>
                <w:rFonts w:hint="eastAsia" w:ascii="Times New Roman" w:hAnsi="Times New Roman" w:eastAsia="宋体" w:cs="宋体"/>
                <w:color w:val="auto"/>
                <w:sz w:val="24"/>
                <w:szCs w:val="24"/>
                <w:highlight w:val="none"/>
              </w:rPr>
              <w:t xml:space="preserve">.00分</w:t>
            </w:r>
            <w:r/>
          </w:p>
        </w:tc>
        <w:tc>
          <w:tcPr>
            <w:tcW w:w="3014" w:type="pct"/>
            <w:vAlign w:val="center"/>
            <w:textDirection w:val="lrTb"/>
            <w:noWrap w:val="false"/>
          </w:tcPr>
          <w:p>
            <w:pPr>
              <w:jc w:val="left"/>
              <w:spacing w:line="360" w:lineRule="exact"/>
              <w:widowControl/>
              <w:rPr>
                <w:rFonts w:hint="eastAsia"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rPr>
              <w:t xml:space="preserve">针对招标文件“第四章、采购需求”中的“</w:t>
            </w:r>
            <w:r>
              <w:rPr>
                <w:rFonts w:hint="eastAsia" w:ascii="Times New Roman" w:hAnsi="Times New Roman" w:eastAsia="宋体" w:cs="宋体"/>
                <w:color w:val="auto"/>
                <w:sz w:val="24"/>
                <w:szCs w:val="24"/>
                <w:highlight w:val="none"/>
                <w:lang w:val="en-US" w:eastAsia="zh-CN"/>
              </w:rPr>
              <w:t xml:space="preserve">六</w:t>
            </w:r>
            <w:r>
              <w:rPr>
                <w:rFonts w:hint="eastAsia" w:ascii="Times New Roman" w:hAnsi="Times New Roman" w:eastAsia="宋体" w:cs="宋体"/>
                <w:color w:val="auto"/>
                <w:sz w:val="24"/>
                <w:szCs w:val="24"/>
                <w:highlight w:val="none"/>
              </w:rPr>
              <w:t xml:space="preserve">、项目实施方案-</w:t>
            </w:r>
            <w:r>
              <w:rPr>
                <w:rFonts w:hint="eastAsia" w:ascii="Times New Roman" w:hAnsi="Times New Roman" w:eastAsia="宋体" w:cs="宋体"/>
                <w:color w:val="auto"/>
                <w:sz w:val="24"/>
                <w:szCs w:val="24"/>
                <w:highlight w:val="none"/>
                <w:lang w:val="en-US" w:eastAsia="zh-CN"/>
              </w:rPr>
              <w:t xml:space="preserve">3</w:t>
            </w:r>
            <w:r>
              <w:rPr>
                <w:rFonts w:hint="eastAsia" w:ascii="Times New Roman" w:hAnsi="Times New Roman" w:eastAsia="宋体" w:cs="宋体"/>
                <w:color w:val="auto"/>
                <w:sz w:val="24"/>
                <w:szCs w:val="24"/>
                <w:highlight w:val="none"/>
              </w:rPr>
              <w:t xml:space="preserve">、进度计划及保障措施”提供进度安排及保障措施方案</w:t>
            </w:r>
            <w:r>
              <w:rPr>
                <w:rFonts w:hint="eastAsia" w:ascii="Times New Roman" w:hAnsi="Times New Roman" w:cs="宋体"/>
                <w:color w:val="auto"/>
                <w:sz w:val="24"/>
                <w:szCs w:val="24"/>
                <w:highlight w:val="none"/>
                <w:lang w:eastAsia="zh-CN"/>
              </w:rPr>
              <w:t xml:space="preserve">（</w:t>
            </w:r>
            <w:r>
              <w:rPr>
                <w:rFonts w:hint="eastAsia" w:ascii="Times New Roman" w:hAnsi="Times New Roman" w:cs="宋体"/>
                <w:color w:val="auto"/>
                <w:sz w:val="24"/>
                <w:szCs w:val="24"/>
                <w:highlight w:val="none"/>
                <w:lang w:val="en-US" w:eastAsia="zh-CN"/>
              </w:rPr>
              <w:t xml:space="preserve">应统筹考虑每单元仅有一部电梯及春节假期的影响，合理安排每部电梯施工进度</w:t>
            </w:r>
            <w:r>
              <w:rPr>
                <w:rFonts w:hint="eastAsia" w:ascii="Times New Roman" w:hAnsi="Times New Roman" w:cs="宋体"/>
                <w:color w:val="auto"/>
                <w:sz w:val="24"/>
                <w:szCs w:val="24"/>
                <w:highlight w:val="none"/>
                <w:lang w:eastAsia="zh-CN"/>
              </w:rPr>
              <w:t xml:space="preserve">）</w:t>
            </w:r>
            <w:r>
              <w:rPr>
                <w:rFonts w:hint="eastAsia" w:ascii="Times New Roman" w:hAnsi="Times New Roman" w:eastAsia="宋体" w:cs="宋体"/>
                <w:color w:val="auto"/>
                <w:sz w:val="24"/>
                <w:szCs w:val="24"/>
                <w:highlight w:val="none"/>
              </w:rPr>
              <w:t xml:space="preserve">。</w:t>
            </w:r>
            <w:r>
              <w:rPr>
                <w:rFonts w:hint="eastAsia" w:ascii="Times New Roman" w:hAnsi="Times New Roman" w:cs="宋体"/>
                <w:color w:val="auto"/>
                <w:sz w:val="24"/>
                <w:szCs w:val="24"/>
                <w:highlight w:val="none"/>
                <w:lang w:val="en-US" w:eastAsia="zh-CN"/>
              </w:rPr>
              <w:t xml:space="preserve">方案内容详细且经验丰富，切实可行，</w:t>
            </w:r>
            <w:r>
              <w:rPr>
                <w:rFonts w:hint="eastAsia" w:ascii="Times New Roman" w:hAnsi="Times New Roman" w:eastAsia="宋体" w:cs="宋体"/>
                <w:color w:val="auto"/>
                <w:sz w:val="24"/>
                <w:szCs w:val="24"/>
                <w:highlight w:val="none"/>
              </w:rPr>
              <w:t xml:space="preserve">优于采购需求得</w:t>
            </w:r>
            <w:r>
              <w:rPr>
                <w:rFonts w:hint="eastAsia" w:ascii="Times New Roman" w:hAnsi="Times New Roman" w:cs="宋体"/>
                <w:color w:val="auto"/>
                <w:sz w:val="24"/>
                <w:szCs w:val="24"/>
                <w:highlight w:val="none"/>
                <w:lang w:val="en-US" w:eastAsia="zh-CN"/>
              </w:rPr>
              <w:t xml:space="preserve">6</w:t>
            </w:r>
            <w:r>
              <w:rPr>
                <w:rFonts w:hint="eastAsia" w:ascii="Times New Roman" w:hAnsi="Times New Roman" w:eastAsia="宋体" w:cs="宋体"/>
                <w:color w:val="auto"/>
                <w:sz w:val="24"/>
                <w:szCs w:val="24"/>
                <w:highlight w:val="none"/>
              </w:rPr>
              <w:t xml:space="preserve">分；</w:t>
            </w:r>
            <w:r>
              <w:rPr>
                <w:rFonts w:hint="eastAsia" w:ascii="Times New Roman" w:hAnsi="Times New Roman" w:cs="宋体"/>
                <w:color w:val="auto"/>
                <w:sz w:val="24"/>
                <w:szCs w:val="24"/>
                <w:highlight w:val="none"/>
                <w:lang w:val="en-US" w:eastAsia="zh-CN"/>
              </w:rPr>
              <w:t xml:space="preserve">能</w:t>
            </w:r>
            <w:r>
              <w:rPr>
                <w:rFonts w:hint="eastAsia" w:ascii="Times New Roman" w:hAnsi="Times New Roman" w:eastAsia="宋体" w:cs="宋体"/>
                <w:color w:val="auto"/>
                <w:sz w:val="24"/>
                <w:szCs w:val="24"/>
                <w:highlight w:val="none"/>
              </w:rPr>
              <w:t xml:space="preserve">满足</w:t>
            </w:r>
            <w:r>
              <w:rPr>
                <w:rFonts w:hint="eastAsia" w:ascii="Times New Roman" w:hAnsi="Times New Roman" w:cs="宋体"/>
                <w:color w:val="auto"/>
                <w:sz w:val="24"/>
                <w:szCs w:val="24"/>
                <w:highlight w:val="none"/>
                <w:lang w:val="en-US" w:eastAsia="zh-CN"/>
              </w:rPr>
              <w:t xml:space="preserve">实施需要的得3分；方案简单，基本能满足项目实施需要的得1分；</w:t>
            </w:r>
            <w:r>
              <w:rPr>
                <w:rFonts w:hint="eastAsia" w:ascii="Times New Roman" w:hAnsi="Times New Roman" w:eastAsia="宋体" w:cs="宋体"/>
                <w:color w:val="auto"/>
                <w:sz w:val="24"/>
                <w:szCs w:val="24"/>
                <w:highlight w:val="none"/>
              </w:rPr>
              <w:t xml:space="preserve">没有内容者不得分。</w:t>
            </w:r>
            <w:r/>
          </w:p>
        </w:tc>
      </w:tr>
      <w:tr>
        <w:trPr>
          <w:trHeight w:val="855"/>
        </w:trPr>
        <w:tc>
          <w:tcPr>
            <w:tcW w:w="519" w:type="pct"/>
            <w:vAlign w:val="center"/>
            <w:vMerge w:val="continue"/>
            <w:textDirection w:val="lrTb"/>
            <w:noWrap w:val="false"/>
          </w:tcPr>
          <w:p>
            <w:pPr>
              <w:jc w:val="left"/>
              <w:spacing w:line="360" w:lineRule="exact"/>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W w:w="844" w:type="pct"/>
            <w:vAlign w:val="center"/>
            <w:textDirection w:val="lrTb"/>
            <w:noWrap w:val="false"/>
          </w:tcPr>
          <w:p>
            <w:pPr>
              <w:jc w:val="left"/>
              <w:spacing w:line="360" w:lineRule="exact"/>
              <w:widowControl/>
              <w:rPr>
                <w:rFonts w:hint="eastAsia"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rPr>
              <w:t xml:space="preserve">电梯</w:t>
            </w:r>
            <w:r>
              <w:rPr>
                <w:rFonts w:hint="eastAsia" w:ascii="Times New Roman" w:hAnsi="Times New Roman" w:cs="宋体"/>
                <w:color w:val="auto"/>
                <w:sz w:val="24"/>
                <w:szCs w:val="24"/>
                <w:highlight w:val="none"/>
                <w:lang w:eastAsia="zh-CN"/>
              </w:rPr>
              <w:t xml:space="preserve">专项</w:t>
            </w:r>
            <w:r>
              <w:rPr>
                <w:rFonts w:hint="eastAsia" w:ascii="Times New Roman" w:hAnsi="Times New Roman" w:eastAsia="宋体" w:cs="宋体"/>
                <w:color w:val="auto"/>
                <w:sz w:val="24"/>
                <w:szCs w:val="24"/>
                <w:highlight w:val="none"/>
              </w:rPr>
              <w:t xml:space="preserve">安装方案</w:t>
            </w:r>
            <w:r/>
          </w:p>
        </w:tc>
        <w:tc>
          <w:tcPr>
            <w:tcW w:w="621" w:type="pct"/>
            <w:vAlign w:val="center"/>
            <w:textDirection w:val="lrTb"/>
            <w:noWrap w:val="false"/>
          </w:tcPr>
          <w:p>
            <w:pPr>
              <w:jc w:val="center"/>
              <w:spacing w:line="360" w:lineRule="exact"/>
              <w:widowControl/>
              <w:rPr>
                <w:rFonts w:hint="eastAsia" w:ascii="Times New Roman" w:hAnsi="Times New Roman" w:eastAsia="宋体" w:cs="宋体"/>
                <w:color w:val="auto"/>
                <w:sz w:val="24"/>
                <w:szCs w:val="24"/>
                <w:highlight w:val="none"/>
                <w:lang w:val="en-US" w:eastAsia="zh-CN"/>
              </w:rPr>
            </w:pPr>
            <w:r>
              <w:rPr>
                <w:rFonts w:hint="eastAsia" w:ascii="Times New Roman" w:hAnsi="Times New Roman" w:cs="宋体"/>
                <w:color w:val="auto"/>
                <w:sz w:val="24"/>
                <w:szCs w:val="24"/>
                <w:highlight w:val="none"/>
                <w:lang w:val="en-US" w:eastAsia="zh-CN"/>
              </w:rPr>
              <w:t xml:space="preserve">6</w:t>
            </w:r>
            <w:r>
              <w:rPr>
                <w:rFonts w:hint="eastAsia" w:ascii="Times New Roman" w:hAnsi="Times New Roman" w:eastAsia="宋体" w:cs="宋体"/>
                <w:color w:val="auto"/>
                <w:sz w:val="24"/>
                <w:szCs w:val="24"/>
                <w:highlight w:val="none"/>
              </w:rPr>
              <w:t xml:space="preserve">.00分</w:t>
            </w:r>
            <w:r/>
          </w:p>
        </w:tc>
        <w:tc>
          <w:tcPr>
            <w:tcW w:w="3014" w:type="pct"/>
            <w:vAlign w:val="center"/>
            <w:textDirection w:val="lrTb"/>
            <w:noWrap w:val="false"/>
          </w:tcPr>
          <w:p>
            <w:pPr>
              <w:jc w:val="left"/>
              <w:spacing w:line="360" w:lineRule="exact"/>
              <w:widowControl/>
              <w:rPr>
                <w:rFonts w:hint="eastAsia"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rPr>
              <w:t xml:space="preserve">针对招标文件“第四章、采购需求”中的“</w:t>
            </w:r>
            <w:r>
              <w:rPr>
                <w:rFonts w:hint="eastAsia" w:ascii="Times New Roman" w:hAnsi="Times New Roman" w:eastAsia="宋体" w:cs="宋体"/>
                <w:color w:val="auto"/>
                <w:sz w:val="24"/>
                <w:szCs w:val="24"/>
                <w:highlight w:val="none"/>
                <w:lang w:val="en-US" w:eastAsia="zh-CN"/>
              </w:rPr>
              <w:t xml:space="preserve">六</w:t>
            </w:r>
            <w:r>
              <w:rPr>
                <w:rFonts w:hint="eastAsia" w:ascii="Times New Roman" w:hAnsi="Times New Roman" w:eastAsia="宋体" w:cs="宋体"/>
                <w:color w:val="auto"/>
                <w:sz w:val="24"/>
                <w:szCs w:val="24"/>
                <w:highlight w:val="none"/>
              </w:rPr>
              <w:t xml:space="preserve">、项目实施方案-</w:t>
            </w:r>
            <w:r>
              <w:rPr>
                <w:rFonts w:hint="eastAsia" w:ascii="Times New Roman" w:hAnsi="Times New Roman" w:eastAsia="宋体" w:cs="宋体"/>
                <w:color w:val="auto"/>
                <w:sz w:val="24"/>
                <w:szCs w:val="24"/>
                <w:highlight w:val="none"/>
                <w:lang w:val="en-US" w:eastAsia="zh-CN"/>
              </w:rPr>
              <w:t xml:space="preserve">4</w:t>
            </w:r>
            <w:r>
              <w:rPr>
                <w:rFonts w:hint="eastAsia" w:ascii="Times New Roman" w:hAnsi="Times New Roman" w:eastAsia="宋体" w:cs="宋体"/>
                <w:color w:val="auto"/>
                <w:sz w:val="24"/>
                <w:szCs w:val="24"/>
                <w:highlight w:val="none"/>
              </w:rPr>
              <w:t xml:space="preserve">、电梯专项安装方案”提供电梯安装方案。</w:t>
            </w:r>
            <w:r>
              <w:rPr>
                <w:rFonts w:hint="eastAsia" w:ascii="Times New Roman" w:hAnsi="Times New Roman" w:cs="宋体"/>
                <w:color w:val="auto"/>
                <w:sz w:val="24"/>
                <w:szCs w:val="24"/>
                <w:highlight w:val="none"/>
                <w:lang w:val="en-US" w:eastAsia="zh-CN"/>
              </w:rPr>
              <w:t xml:space="preserve">方案内容详细且经验丰富，切实可行，</w:t>
            </w:r>
            <w:r>
              <w:rPr>
                <w:rFonts w:hint="eastAsia" w:ascii="Times New Roman" w:hAnsi="Times New Roman" w:eastAsia="宋体" w:cs="宋体"/>
                <w:color w:val="auto"/>
                <w:sz w:val="24"/>
                <w:szCs w:val="24"/>
                <w:highlight w:val="none"/>
              </w:rPr>
              <w:t xml:space="preserve">优于采购需求得</w:t>
            </w:r>
            <w:r>
              <w:rPr>
                <w:rFonts w:hint="eastAsia" w:ascii="Times New Roman" w:hAnsi="Times New Roman" w:cs="宋体"/>
                <w:color w:val="auto"/>
                <w:sz w:val="24"/>
                <w:szCs w:val="24"/>
                <w:highlight w:val="none"/>
                <w:lang w:val="en-US" w:eastAsia="zh-CN"/>
              </w:rPr>
              <w:t xml:space="preserve">6</w:t>
            </w:r>
            <w:r>
              <w:rPr>
                <w:rFonts w:hint="eastAsia" w:ascii="Times New Roman" w:hAnsi="Times New Roman" w:eastAsia="宋体" w:cs="宋体"/>
                <w:color w:val="auto"/>
                <w:sz w:val="24"/>
                <w:szCs w:val="24"/>
                <w:highlight w:val="none"/>
              </w:rPr>
              <w:t xml:space="preserve">分；</w:t>
            </w:r>
            <w:r>
              <w:rPr>
                <w:rFonts w:hint="eastAsia" w:ascii="Times New Roman" w:hAnsi="Times New Roman" w:cs="宋体"/>
                <w:color w:val="auto"/>
                <w:sz w:val="24"/>
                <w:szCs w:val="24"/>
                <w:highlight w:val="none"/>
                <w:lang w:val="en-US" w:eastAsia="zh-CN"/>
              </w:rPr>
              <w:t xml:space="preserve">能</w:t>
            </w:r>
            <w:r>
              <w:rPr>
                <w:rFonts w:hint="eastAsia" w:ascii="Times New Roman" w:hAnsi="Times New Roman" w:eastAsia="宋体" w:cs="宋体"/>
                <w:color w:val="auto"/>
                <w:sz w:val="24"/>
                <w:szCs w:val="24"/>
                <w:highlight w:val="none"/>
              </w:rPr>
              <w:t xml:space="preserve">满足</w:t>
            </w:r>
            <w:r>
              <w:rPr>
                <w:rFonts w:hint="eastAsia" w:ascii="Times New Roman" w:hAnsi="Times New Roman" w:cs="宋体"/>
                <w:color w:val="auto"/>
                <w:sz w:val="24"/>
                <w:szCs w:val="24"/>
                <w:highlight w:val="none"/>
                <w:lang w:val="en-US" w:eastAsia="zh-CN"/>
              </w:rPr>
              <w:t xml:space="preserve">实施需要的得3分；方案简单，基本能满足项目实施需要的得1分；</w:t>
            </w:r>
            <w:r>
              <w:rPr>
                <w:rFonts w:hint="eastAsia" w:ascii="Times New Roman" w:hAnsi="Times New Roman" w:eastAsia="宋体" w:cs="宋体"/>
                <w:color w:val="auto"/>
                <w:sz w:val="24"/>
                <w:szCs w:val="24"/>
                <w:highlight w:val="none"/>
              </w:rPr>
              <w:t xml:space="preserve">没有内容者不得分。</w:t>
            </w:r>
            <w:r/>
          </w:p>
        </w:tc>
      </w:tr>
      <w:tr>
        <w:trPr>
          <w:trHeight w:val="855"/>
        </w:trPr>
        <w:tc>
          <w:tcPr>
            <w:tcW w:w="519" w:type="pct"/>
            <w:vAlign w:val="center"/>
            <w:vMerge w:val="continue"/>
            <w:textDirection w:val="lrTb"/>
            <w:noWrap w:val="false"/>
          </w:tcPr>
          <w:p>
            <w:pPr>
              <w:jc w:val="left"/>
              <w:spacing w:line="360" w:lineRule="exact"/>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W w:w="844" w:type="pct"/>
            <w:vAlign w:val="center"/>
            <w:textDirection w:val="lrTb"/>
            <w:noWrap w:val="false"/>
          </w:tcPr>
          <w:p>
            <w:pPr>
              <w:jc w:val="left"/>
              <w:spacing w:line="360" w:lineRule="exact"/>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电梯应急预案方案</w:t>
            </w:r>
            <w:r/>
          </w:p>
        </w:tc>
        <w:tc>
          <w:tcPr>
            <w:tcW w:w="621" w:type="pct"/>
            <w:vAlign w:val="center"/>
            <w:textDirection w:val="lrTb"/>
            <w:noWrap w:val="false"/>
          </w:tcPr>
          <w:p>
            <w:pPr>
              <w:jc w:val="center"/>
              <w:spacing w:line="360" w:lineRule="exact"/>
              <w:widowControl/>
              <w:rPr>
                <w:rFonts w:hint="eastAsia" w:ascii="Times New Roman" w:hAnsi="Times New Roman" w:eastAsia="宋体" w:cs="宋体"/>
                <w:color w:val="auto"/>
                <w:sz w:val="24"/>
                <w:szCs w:val="24"/>
                <w:highlight w:val="none"/>
                <w:lang w:val="en-US" w:eastAsia="zh-CN"/>
              </w:rPr>
            </w:pPr>
            <w:r>
              <w:rPr>
                <w:rFonts w:hint="eastAsia" w:ascii="Times New Roman" w:hAnsi="Times New Roman" w:cs="宋体"/>
                <w:color w:val="auto"/>
                <w:sz w:val="24"/>
                <w:szCs w:val="24"/>
                <w:highlight w:val="none"/>
                <w:lang w:val="en-US" w:eastAsia="zh-CN"/>
              </w:rPr>
              <w:t xml:space="preserve">5</w:t>
            </w:r>
            <w:r>
              <w:rPr>
                <w:rFonts w:hint="eastAsia" w:ascii="Times New Roman" w:hAnsi="Times New Roman" w:eastAsia="宋体" w:cs="宋体"/>
                <w:color w:val="auto"/>
                <w:sz w:val="24"/>
                <w:szCs w:val="24"/>
                <w:highlight w:val="none"/>
              </w:rPr>
              <w:t xml:space="preserve">.00分</w:t>
            </w:r>
            <w:r/>
          </w:p>
        </w:tc>
        <w:tc>
          <w:tcPr>
            <w:tcW w:w="3014" w:type="pct"/>
            <w:vAlign w:val="center"/>
            <w:textDirection w:val="lrTb"/>
            <w:noWrap w:val="false"/>
          </w:tcPr>
          <w:p>
            <w:pPr>
              <w:jc w:val="left"/>
              <w:spacing w:line="360" w:lineRule="exact"/>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针对招标文件“第四章、采购需求”中的“</w:t>
            </w:r>
            <w:r>
              <w:rPr>
                <w:rFonts w:hint="eastAsia" w:ascii="Times New Roman" w:hAnsi="Times New Roman" w:eastAsia="宋体" w:cs="宋体"/>
                <w:color w:val="auto"/>
                <w:sz w:val="24"/>
                <w:szCs w:val="24"/>
                <w:highlight w:val="none"/>
                <w:lang w:val="en-US" w:eastAsia="zh-CN"/>
              </w:rPr>
              <w:t xml:space="preserve">六</w:t>
            </w:r>
            <w:r>
              <w:rPr>
                <w:rFonts w:hint="eastAsia" w:ascii="Times New Roman" w:hAnsi="Times New Roman" w:eastAsia="宋体" w:cs="宋体"/>
                <w:color w:val="auto"/>
                <w:sz w:val="24"/>
                <w:szCs w:val="24"/>
                <w:highlight w:val="none"/>
              </w:rPr>
              <w:t xml:space="preserve">、项目实施方案-</w:t>
            </w:r>
            <w:r>
              <w:rPr>
                <w:rFonts w:hint="eastAsia" w:ascii="Times New Roman" w:hAnsi="Times New Roman" w:eastAsia="宋体" w:cs="宋体"/>
                <w:color w:val="auto"/>
                <w:sz w:val="24"/>
                <w:szCs w:val="24"/>
                <w:highlight w:val="none"/>
                <w:lang w:val="en-US" w:eastAsia="zh-CN"/>
              </w:rPr>
              <w:t xml:space="preserve">5</w:t>
            </w:r>
            <w:r>
              <w:rPr>
                <w:rFonts w:hint="eastAsia" w:ascii="Times New Roman" w:hAnsi="Times New Roman" w:eastAsia="宋体" w:cs="宋体"/>
                <w:color w:val="auto"/>
                <w:sz w:val="24"/>
                <w:szCs w:val="24"/>
                <w:highlight w:val="none"/>
              </w:rPr>
              <w:t xml:space="preserve">、电梯应急预案”提供电梯应急预案方案。</w:t>
            </w:r>
            <w:r>
              <w:rPr>
                <w:rFonts w:hint="eastAsia" w:ascii="Times New Roman" w:hAnsi="Times New Roman" w:cs="宋体"/>
                <w:color w:val="auto"/>
                <w:sz w:val="24"/>
                <w:szCs w:val="24"/>
                <w:highlight w:val="none"/>
                <w:lang w:val="en-US" w:eastAsia="zh-CN"/>
              </w:rPr>
              <w:t xml:space="preserve">方案内容详细且经验丰富，切实可行，</w:t>
            </w:r>
            <w:r>
              <w:rPr>
                <w:rFonts w:hint="eastAsia" w:ascii="Times New Roman" w:hAnsi="Times New Roman" w:eastAsia="宋体" w:cs="宋体"/>
                <w:color w:val="auto"/>
                <w:sz w:val="24"/>
                <w:szCs w:val="24"/>
                <w:highlight w:val="none"/>
              </w:rPr>
              <w:t xml:space="preserve">优于采购需求得</w:t>
            </w:r>
            <w:r>
              <w:rPr>
                <w:rFonts w:hint="eastAsia" w:ascii="Times New Roman" w:hAnsi="Times New Roman" w:cs="宋体"/>
                <w:color w:val="auto"/>
                <w:sz w:val="24"/>
                <w:szCs w:val="24"/>
                <w:highlight w:val="none"/>
                <w:lang w:val="en-US" w:eastAsia="zh-CN"/>
              </w:rPr>
              <w:t xml:space="preserve">5</w:t>
            </w:r>
            <w:r>
              <w:rPr>
                <w:rFonts w:hint="eastAsia" w:ascii="Times New Roman" w:hAnsi="Times New Roman" w:eastAsia="宋体" w:cs="宋体"/>
                <w:color w:val="auto"/>
                <w:sz w:val="24"/>
                <w:szCs w:val="24"/>
                <w:highlight w:val="none"/>
              </w:rPr>
              <w:t xml:space="preserve">分；</w:t>
            </w:r>
            <w:r>
              <w:rPr>
                <w:rFonts w:hint="eastAsia" w:ascii="Times New Roman" w:hAnsi="Times New Roman" w:cs="宋体"/>
                <w:color w:val="auto"/>
                <w:sz w:val="24"/>
                <w:szCs w:val="24"/>
                <w:highlight w:val="none"/>
                <w:lang w:val="en-US" w:eastAsia="zh-CN"/>
              </w:rPr>
              <w:t xml:space="preserve">能</w:t>
            </w:r>
            <w:r>
              <w:rPr>
                <w:rFonts w:hint="eastAsia" w:ascii="Times New Roman" w:hAnsi="Times New Roman" w:eastAsia="宋体" w:cs="宋体"/>
                <w:color w:val="auto"/>
                <w:sz w:val="24"/>
                <w:szCs w:val="24"/>
                <w:highlight w:val="none"/>
              </w:rPr>
              <w:t xml:space="preserve">满足</w:t>
            </w:r>
            <w:r>
              <w:rPr>
                <w:rFonts w:hint="eastAsia" w:ascii="Times New Roman" w:hAnsi="Times New Roman" w:cs="宋体"/>
                <w:color w:val="auto"/>
                <w:sz w:val="24"/>
                <w:szCs w:val="24"/>
                <w:highlight w:val="none"/>
                <w:lang w:val="en-US" w:eastAsia="zh-CN"/>
              </w:rPr>
              <w:t xml:space="preserve">实施需要的得3分；方案简单，基本能满足项目实施需要的得1分；</w:t>
            </w:r>
            <w:r>
              <w:rPr>
                <w:rFonts w:hint="eastAsia" w:ascii="Times New Roman" w:hAnsi="Times New Roman" w:eastAsia="宋体" w:cs="宋体"/>
                <w:color w:val="auto"/>
                <w:sz w:val="24"/>
                <w:szCs w:val="24"/>
                <w:highlight w:val="none"/>
              </w:rPr>
              <w:t xml:space="preserve">没有内容者不得分。</w:t>
            </w:r>
            <w:r/>
          </w:p>
        </w:tc>
      </w:tr>
      <w:tr>
        <w:trPr>
          <w:trHeight w:val="1360"/>
        </w:trPr>
        <w:tc>
          <w:tcPr>
            <w:tcW w:w="519" w:type="pct"/>
            <w:vAlign w:val="center"/>
            <w:textDirection w:val="lrTb"/>
            <w:noWrap w:val="false"/>
          </w:tcPr>
          <w:p>
            <w:pPr>
              <w:jc w:val="left"/>
              <w:spacing w:line="360" w:lineRule="exact"/>
              <w:widowControl/>
              <w:rPr>
                <w:rFonts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售后服务</w:t>
            </w:r>
            <w:r>
              <w:rPr>
                <w:rFonts w:hint="eastAsia" w:ascii="Times New Roman" w:hAnsi="Times New Roman" w:cs="宋体"/>
                <w:color w:val="auto"/>
                <w:sz w:val="24"/>
                <w:szCs w:val="24"/>
                <w:highlight w:val="none"/>
                <w:lang w:val="en-US" w:eastAsia="zh-CN"/>
              </w:rPr>
              <w:t xml:space="preserve">及维保</w:t>
            </w:r>
            <w:r/>
          </w:p>
        </w:tc>
        <w:tc>
          <w:tcPr>
            <w:tcW w:w="844" w:type="pct"/>
            <w:vAlign w:val="center"/>
            <w:textDirection w:val="lrTb"/>
            <w:noWrap w:val="false"/>
          </w:tcPr>
          <w:p>
            <w:pPr>
              <w:ind w:left="240" w:hanging="240"/>
              <w:jc w:val="left"/>
              <w:spacing w:line="240" w:lineRule="auto"/>
              <w:widowControl/>
              <w:rPr>
                <w:rFonts w:hint="eastAsia" w:ascii="Times New Roman" w:hAnsi="Times New Roman" w:eastAsia="宋体" w:cs="宋体"/>
                <w:color w:val="auto"/>
                <w:sz w:val="24"/>
                <w:szCs w:val="24"/>
                <w:highlight w:val="none"/>
                <w:lang w:eastAsia="zh-CN"/>
              </w:rPr>
            </w:pPr>
            <w:r>
              <w:rPr>
                <w:rFonts w:hint="eastAsia" w:ascii="Times New Roman" w:hAnsi="Times New Roman" w:eastAsia="宋体" w:cs="宋体"/>
                <w:color w:val="auto"/>
                <w:sz w:val="24"/>
                <w:szCs w:val="24"/>
                <w:highlight w:val="none"/>
              </w:rPr>
              <w:t xml:space="preserve">售后</w:t>
            </w:r>
            <w:r>
              <w:rPr>
                <w:rFonts w:hint="eastAsia" w:ascii="Times New Roman" w:hAnsi="Times New Roman" w:cs="宋体"/>
                <w:color w:val="auto"/>
                <w:sz w:val="24"/>
                <w:szCs w:val="24"/>
                <w:highlight w:val="none"/>
                <w:lang w:eastAsia="zh-CN"/>
              </w:rPr>
              <w:t xml:space="preserve">技术</w:t>
            </w:r>
            <w:r>
              <w:rPr>
                <w:rFonts w:hint="eastAsia" w:ascii="Times New Roman" w:hAnsi="Times New Roman" w:eastAsia="宋体" w:cs="宋体"/>
                <w:color w:val="auto"/>
                <w:sz w:val="24"/>
                <w:szCs w:val="24"/>
                <w:highlight w:val="none"/>
              </w:rPr>
              <w:t xml:space="preserve">服务</w:t>
            </w:r>
            <w:r>
              <w:rPr>
                <w:rFonts w:hint="eastAsia" w:ascii="Times New Roman" w:hAnsi="Times New Roman" w:cs="宋体"/>
                <w:color w:val="auto"/>
                <w:sz w:val="24"/>
                <w:szCs w:val="24"/>
                <w:highlight w:val="none"/>
                <w:lang w:eastAsia="zh-CN"/>
              </w:rPr>
              <w:t xml:space="preserve">方案</w:t>
            </w:r>
            <w:r/>
          </w:p>
        </w:tc>
        <w:tc>
          <w:tcPr>
            <w:tcW w:w="621" w:type="pct"/>
            <w:vAlign w:val="center"/>
            <w:textDirection w:val="lrTb"/>
            <w:noWrap w:val="false"/>
          </w:tcPr>
          <w:p>
            <w:pPr>
              <w:jc w:val="center"/>
              <w:spacing w:line="240" w:lineRule="auto"/>
              <w:widowControl/>
              <w:rPr>
                <w:rFonts w:hint="eastAsia" w:ascii="Times New Roman" w:hAnsi="Times New Roman" w:eastAsia="宋体" w:cs="宋体"/>
                <w:color w:val="auto"/>
                <w:sz w:val="24"/>
                <w:szCs w:val="24"/>
                <w:highlight w:val="none"/>
                <w:lang w:val="en-US" w:eastAsia="zh-CN"/>
              </w:rPr>
            </w:pPr>
            <w:r>
              <w:rPr>
                <w:rFonts w:hint="eastAsia" w:ascii="Times New Roman" w:hAnsi="Times New Roman" w:cs="宋体"/>
                <w:color w:val="auto"/>
                <w:sz w:val="24"/>
                <w:szCs w:val="24"/>
                <w:highlight w:val="none"/>
                <w:lang w:val="en-US" w:eastAsia="zh-CN"/>
              </w:rPr>
              <w:t xml:space="preserve">4</w:t>
            </w:r>
            <w:r>
              <w:rPr>
                <w:rFonts w:hint="eastAsia" w:ascii="Times New Roman" w:hAnsi="Times New Roman" w:eastAsia="宋体" w:cs="宋体"/>
                <w:color w:val="auto"/>
                <w:sz w:val="24"/>
                <w:szCs w:val="24"/>
                <w:highlight w:val="none"/>
              </w:rPr>
              <w:t xml:space="preserve">.00分</w:t>
            </w:r>
            <w:r/>
          </w:p>
        </w:tc>
        <w:tc>
          <w:tcPr>
            <w:tcW w:w="3014" w:type="pct"/>
            <w:vAlign w:val="center"/>
            <w:textDirection w:val="lrTb"/>
            <w:noWrap w:val="false"/>
          </w:tcPr>
          <w:p>
            <w:pPr>
              <w:numPr>
                <w:ilvl w:val="0"/>
                <w:numId w:val="0"/>
              </w:numPr>
              <w:jc w:val="left"/>
              <w:spacing w:line="240" w:lineRule="auto"/>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针对招标文件“第四章、采购需求”中的“</w:t>
            </w:r>
            <w:r>
              <w:rPr>
                <w:rFonts w:hint="eastAsia" w:ascii="Times New Roman" w:hAnsi="Times New Roman" w:eastAsia="宋体" w:cs="宋体"/>
                <w:color w:val="auto"/>
                <w:sz w:val="24"/>
                <w:szCs w:val="24"/>
                <w:highlight w:val="none"/>
                <w:lang w:val="en-US" w:eastAsia="zh-CN"/>
              </w:rPr>
              <w:t xml:space="preserve">七</w:t>
            </w:r>
            <w:r>
              <w:rPr>
                <w:rFonts w:hint="eastAsia" w:ascii="Times New Roman" w:hAnsi="Times New Roman" w:eastAsia="宋体" w:cs="宋体"/>
                <w:color w:val="auto"/>
                <w:sz w:val="24"/>
                <w:szCs w:val="24"/>
                <w:highlight w:val="none"/>
              </w:rPr>
              <w:t xml:space="preserve">、售后服务及维保要求”，提供售后</w:t>
            </w:r>
            <w:r>
              <w:rPr>
                <w:rFonts w:hint="eastAsia" w:ascii="Times New Roman" w:hAnsi="Times New Roman" w:cs="宋体"/>
                <w:color w:val="auto"/>
                <w:sz w:val="24"/>
                <w:szCs w:val="24"/>
                <w:highlight w:val="none"/>
                <w:lang w:eastAsia="zh-CN"/>
              </w:rPr>
              <w:t xml:space="preserve">技术</w:t>
            </w:r>
            <w:r>
              <w:rPr>
                <w:rFonts w:hint="eastAsia" w:ascii="Times New Roman" w:hAnsi="Times New Roman" w:eastAsia="宋体" w:cs="宋体"/>
                <w:color w:val="auto"/>
                <w:sz w:val="24"/>
                <w:szCs w:val="24"/>
                <w:highlight w:val="none"/>
              </w:rPr>
              <w:t xml:space="preserve">服务方案。</w:t>
            </w:r>
            <w:r>
              <w:rPr>
                <w:rFonts w:hint="eastAsia" w:ascii="Times New Roman" w:hAnsi="Times New Roman" w:cs="宋体"/>
                <w:color w:val="auto"/>
                <w:sz w:val="24"/>
                <w:szCs w:val="24"/>
                <w:highlight w:val="none"/>
                <w:lang w:val="en-US" w:eastAsia="zh-CN"/>
              </w:rPr>
              <w:t xml:space="preserve">方案内容详细、切实可行、</w:t>
            </w:r>
            <w:r>
              <w:rPr>
                <w:rFonts w:hint="eastAsia" w:ascii="Times New Roman" w:hAnsi="Times New Roman" w:eastAsia="宋体" w:cs="宋体"/>
                <w:color w:val="auto"/>
                <w:sz w:val="24"/>
                <w:szCs w:val="24"/>
                <w:highlight w:val="none"/>
              </w:rPr>
              <w:t xml:space="preserve">优于采购需求得</w:t>
            </w:r>
            <w:r>
              <w:rPr>
                <w:rFonts w:hint="eastAsia" w:ascii="Times New Roman" w:hAnsi="Times New Roman" w:cs="宋体"/>
                <w:color w:val="auto"/>
                <w:sz w:val="24"/>
                <w:szCs w:val="24"/>
                <w:highlight w:val="none"/>
                <w:lang w:val="en-US" w:eastAsia="zh-CN"/>
              </w:rPr>
              <w:t xml:space="preserve">4</w:t>
            </w:r>
            <w:r>
              <w:rPr>
                <w:rFonts w:hint="eastAsia" w:ascii="Times New Roman" w:hAnsi="Times New Roman" w:eastAsia="宋体" w:cs="宋体"/>
                <w:color w:val="auto"/>
                <w:sz w:val="24"/>
                <w:szCs w:val="24"/>
                <w:highlight w:val="none"/>
              </w:rPr>
              <w:t xml:space="preserve">分；</w:t>
            </w:r>
            <w:r>
              <w:rPr>
                <w:rFonts w:hint="eastAsia" w:ascii="Times New Roman" w:hAnsi="Times New Roman" w:cs="宋体"/>
                <w:color w:val="auto"/>
                <w:sz w:val="24"/>
                <w:szCs w:val="24"/>
                <w:highlight w:val="none"/>
                <w:lang w:val="en-US" w:eastAsia="zh-CN"/>
              </w:rPr>
              <w:t xml:space="preserve">能</w:t>
            </w:r>
            <w:r>
              <w:rPr>
                <w:rFonts w:hint="eastAsia" w:ascii="Times New Roman" w:hAnsi="Times New Roman" w:eastAsia="宋体" w:cs="宋体"/>
                <w:color w:val="auto"/>
                <w:sz w:val="24"/>
                <w:szCs w:val="24"/>
                <w:highlight w:val="none"/>
              </w:rPr>
              <w:t xml:space="preserve">满足</w:t>
            </w:r>
            <w:r>
              <w:rPr>
                <w:rFonts w:hint="eastAsia" w:ascii="Times New Roman" w:hAnsi="Times New Roman" w:cs="宋体"/>
                <w:color w:val="auto"/>
                <w:sz w:val="24"/>
                <w:szCs w:val="24"/>
                <w:highlight w:val="none"/>
                <w:lang w:val="en-US" w:eastAsia="zh-CN"/>
              </w:rPr>
              <w:t xml:space="preserve">实施需要的得2分；方案简单，基本能满足项 目实施需要的得1分；</w:t>
            </w:r>
            <w:r>
              <w:rPr>
                <w:rFonts w:hint="eastAsia" w:ascii="Times New Roman" w:hAnsi="Times New Roman" w:eastAsia="宋体" w:cs="宋体"/>
                <w:color w:val="auto"/>
                <w:sz w:val="24"/>
                <w:szCs w:val="24"/>
                <w:highlight w:val="none"/>
              </w:rPr>
              <w:t xml:space="preserve">没有内容者不得分。</w:t>
            </w:r>
            <w:r/>
          </w:p>
        </w:tc>
      </w:tr>
    </w:tbl>
    <w:p>
      <w:pPr>
        <w:ind w:firstLine="482"/>
        <w:jc w:val="left"/>
        <w:spacing w:line="480" w:lineRule="exact"/>
        <w:rPr>
          <w:rFonts w:hint="eastAsia"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四、评标标准</w:t>
      </w:r>
      <w:bookmarkStart w:id="118" w:name="_Toc2916"/>
      <w:r/>
      <w:bookmarkStart w:id="119" w:name="_Toc81575205"/>
      <w:r/>
      <w:bookmarkStart w:id="120" w:name="_Toc12255"/>
      <w:r/>
      <w:bookmarkStart w:id="121" w:name="_Toc22314"/>
      <w:r/>
      <w:bookmarkStart w:id="122" w:name="_Toc81575168"/>
      <w:r/>
      <w:r/>
    </w:p>
    <w:p>
      <w:pPr>
        <w:numPr>
          <w:ilvl w:val="0"/>
          <w:numId w:val="3"/>
        </w:numPr>
        <w:ind w:left="210" w:firstLine="480"/>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评审过程中出现下列情形之一的，评审委员会应当启动异常低价投标（响应）审查程序：1．投标（响应）报价低于采购项目预算50% 的，即投标（响 应）报价</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采购项目预算×50% ；</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rPr>
          <w:rFonts w:hint="eastAsia" w:ascii="宋体" w:hAnsi="宋体" w:eastAsia="宋体" w:cs="宋体"/>
          <w:b w:val="0"/>
          <w:bCs w:val="0"/>
          <w:color w:val="auto"/>
          <w:sz w:val="24"/>
          <w:szCs w:val="24"/>
          <w:highlight w:val="none"/>
          <w:lang w:eastAsia="zh-CN"/>
        </w:rPr>
        <w:t xml:space="preserve">2.</w:t>
      </w:r>
      <w:r>
        <w:rPr>
          <w:rFonts w:hint="eastAsia" w:ascii="宋体" w:hAnsi="宋体" w:eastAsia="宋体" w:cs="宋体"/>
          <w:b w:val="0"/>
          <w:bCs w:val="0"/>
          <w:color w:val="auto"/>
          <w:sz w:val="24"/>
          <w:szCs w:val="24"/>
          <w:highlight w:val="none"/>
        </w:rPr>
        <w:t xml:space="preserve">投标（响应）报价低于采购项目最高限价45%的，即投标（响应）报价</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采购项目最高限价×45% ；</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rPr>
          <w:rFonts w:hint="eastAsia" w:ascii="宋体" w:hAnsi="宋体" w:eastAsia="宋体" w:cs="宋体"/>
          <w:b w:val="0"/>
          <w:bCs w:val="0"/>
          <w:color w:val="auto"/>
          <w:sz w:val="24"/>
          <w:szCs w:val="24"/>
          <w:highlight w:val="none"/>
          <w:lang w:eastAsia="zh-CN"/>
        </w:rPr>
        <w:t xml:space="preserve">3.</w:t>
      </w:r>
      <w:r>
        <w:rPr>
          <w:rFonts w:hint="eastAsia" w:ascii="宋体" w:hAnsi="宋体" w:eastAsia="宋体" w:cs="宋体"/>
          <w:b w:val="0"/>
          <w:bCs w:val="0"/>
          <w:color w:val="auto"/>
          <w:sz w:val="24"/>
          <w:szCs w:val="24"/>
          <w:highlight w:val="none"/>
        </w:rPr>
        <w:t xml:space="preserve">评审委员会认定的供应商报价过低、有可能影响产品质量或者不能诚信履约的其他情形。 </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（二）启动异常低价投标（响应）审查后，评审委员会应当要求相关供应商在评标现场合理的时间内，提供项目具体成本测算等与报价合理性相关的书面说明及相关证明材料，对投标（响 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 应当在评审报告中进行记录。</w:t>
      </w:r>
      <w:bookmarkEnd w:id="115"/>
      <w:r/>
      <w:bookmarkEnd w:id="118"/>
      <w:r/>
      <w:bookmarkEnd w:id="119"/>
      <w:r/>
      <w:bookmarkEnd w:id="120"/>
      <w:r/>
      <w:bookmarkEnd w:id="121"/>
      <w:r/>
      <w:bookmarkEnd w:id="122"/>
      <w:r/>
      <w:r/>
    </w:p>
    <w:p>
      <w:pPr>
        <w:ind w:firstLine="2209"/>
        <w:jc w:val="both"/>
        <w:keepLines/>
        <w:keepNext/>
        <w:pageBreakBefore/>
        <w:rPr>
          <w:rFonts w:hint="eastAsia" w:ascii="Calibri" w:hAnsi="Calibri" w:eastAsia="宋体" w:cs="Times New Roman"/>
          <w:b/>
          <w:color w:val="000000"/>
          <w:sz w:val="44"/>
          <w:szCs w:val="44"/>
          <w:highlight w:val="none"/>
        </w:rPr>
        <w:outlineLvl w:val="0"/>
      </w:pPr>
      <w:r/>
      <w:bookmarkStart w:id="123" w:name="_Toc81575169"/>
      <w:r/>
      <w:bookmarkStart w:id="124" w:name="_Toc2513"/>
      <w:r/>
      <w:bookmarkStart w:id="125" w:name="_Toc22098"/>
      <w:r/>
      <w:bookmarkStart w:id="126" w:name="_Toc31499"/>
      <w:r/>
      <w:bookmarkStart w:id="127" w:name="_Toc81575206"/>
      <w:r>
        <w:rPr>
          <w:rFonts w:hint="eastAsia" w:ascii="Calibri" w:hAnsi="Calibri" w:eastAsia="宋体" w:cs="Times New Roman"/>
          <w:b/>
          <w:color w:val="000000"/>
          <w:sz w:val="44"/>
          <w:szCs w:val="44"/>
          <w:highlight w:val="none"/>
        </w:rPr>
        <w:t xml:space="preserve">第四章</w:t>
      </w:r>
      <w:r>
        <w:rPr>
          <w:rFonts w:hint="default" w:ascii="Calibri" w:hAnsi="Calibri" w:eastAsia="宋体" w:cs="Times New Roman"/>
          <w:b/>
          <w:color w:val="000000"/>
          <w:sz w:val="44"/>
          <w:szCs w:val="44"/>
          <w:highlight w:val="none"/>
        </w:rPr>
        <w:t xml:space="preserve">  </w:t>
      </w:r>
      <w:r>
        <w:rPr>
          <w:rFonts w:hint="eastAsia" w:ascii="Calibri" w:hAnsi="Calibri" w:eastAsia="宋体" w:cs="Times New Roman"/>
          <w:b/>
          <w:color w:val="000000"/>
          <w:sz w:val="44"/>
          <w:szCs w:val="44"/>
          <w:highlight w:val="none"/>
        </w:rPr>
        <w:t xml:space="preserve">采购需求</w:t>
      </w:r>
      <w:r/>
    </w:p>
    <w:p>
      <w:pPr>
        <w:ind w:firstLine="562"/>
        <w:spacing w:line="480" w:lineRule="exact"/>
        <w:rPr>
          <w:rFonts w:hint="eastAsia" w:ascii="宋体" w:hAnsi="宋体" w:eastAsia="宋体" w:cs="Times New Roman"/>
          <w:b/>
          <w:sz w:val="28"/>
          <w:szCs w:val="28"/>
          <w:highlight w:val="none"/>
        </w:rPr>
        <w:outlineLvl w:val="1"/>
      </w:pPr>
      <w:r>
        <w:rPr>
          <w:rFonts w:hint="eastAsia" w:ascii="宋体" w:hAnsi="宋体" w:eastAsia="宋体" w:cs="Times New Roman"/>
          <w:b/>
          <w:sz w:val="28"/>
          <w:szCs w:val="28"/>
          <w:highlight w:val="none"/>
        </w:rPr>
        <w:t xml:space="preserve">一</w:t>
      </w:r>
      <w:r>
        <w:rPr>
          <w:rFonts w:hint="default" w:ascii="宋体" w:hAnsi="宋体" w:eastAsia="宋体" w:cs="Times New Roman"/>
          <w:b/>
          <w:sz w:val="28"/>
          <w:szCs w:val="28"/>
          <w:highlight w:val="none"/>
        </w:rPr>
        <w:t xml:space="preserve">、</w:t>
      </w:r>
      <w:r>
        <w:rPr>
          <w:rFonts w:hint="eastAsia" w:ascii="宋体" w:hAnsi="宋体" w:eastAsia="宋体" w:cs="Times New Roman"/>
          <w:b/>
          <w:sz w:val="28"/>
          <w:szCs w:val="28"/>
          <w:highlight w:val="none"/>
        </w:rPr>
        <w:t xml:space="preserve">采购</w:t>
      </w:r>
      <w:r>
        <w:rPr>
          <w:rFonts w:hint="default" w:ascii="宋体" w:hAnsi="宋体" w:eastAsia="宋体" w:cs="Times New Roman"/>
          <w:b/>
          <w:sz w:val="28"/>
          <w:szCs w:val="28"/>
          <w:highlight w:val="none"/>
        </w:rPr>
        <w:t xml:space="preserve">标的清单</w:t>
      </w:r>
      <w:r/>
    </w:p>
    <w:tbl>
      <w:tblPr>
        <w:tblStyle w:val="67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735"/>
        <w:gridCol w:w="3150"/>
        <w:gridCol w:w="2290"/>
      </w:tblGrid>
      <w:tr>
        <w:trPr>
          <w:cantSplit/>
          <w:jc w:val="center"/>
        </w:trPr>
        <w:tc>
          <w:tcPr>
            <w:tcW w:w="971" w:type="dxa"/>
            <w:vAlign w:val="center"/>
            <w:textDirection w:val="lrTb"/>
            <w:noWrap w:val="false"/>
          </w:tcPr>
          <w:p>
            <w:pPr>
              <w:jc w:val="center"/>
              <w:spacing w:line="3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采购包</w:t>
            </w:r>
            <w:r/>
          </w:p>
        </w:tc>
        <w:tc>
          <w:tcPr>
            <w:tcW w:w="735" w:type="dxa"/>
            <w:vAlign w:val="center"/>
            <w:textDirection w:val="lrTb"/>
            <w:noWrap w:val="false"/>
          </w:tcPr>
          <w:p>
            <w:pPr>
              <w:jc w:val="center"/>
              <w:spacing w:line="3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序号</w:t>
            </w:r>
            <w:r/>
          </w:p>
        </w:tc>
        <w:tc>
          <w:tcPr>
            <w:tcW w:w="3150" w:type="dxa"/>
            <w:vAlign w:val="center"/>
            <w:textDirection w:val="lrTb"/>
            <w:noWrap w:val="false"/>
          </w:tcPr>
          <w:p>
            <w:pPr>
              <w:jc w:val="center"/>
              <w:spacing w:line="3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采购标的</w:t>
            </w:r>
            <w:r/>
          </w:p>
        </w:tc>
        <w:tc>
          <w:tcPr>
            <w:tcW w:w="2290" w:type="dxa"/>
            <w:vAlign w:val="center"/>
            <w:textDirection w:val="lrTb"/>
            <w:noWrap w:val="false"/>
          </w:tcPr>
          <w:p>
            <w:pPr>
              <w:jc w:val="center"/>
              <w:spacing w:line="3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对应中</w:t>
            </w:r>
            <w:r>
              <w:rPr>
                <w:rFonts w:hint="default" w:ascii="宋体" w:hAnsi="宋体" w:eastAsia="宋体" w:cs="Times New Roman"/>
                <w:sz w:val="24"/>
                <w:szCs w:val="24"/>
                <w:highlight w:val="none"/>
              </w:rPr>
              <w:t xml:space="preserve">小企业划分标准所属行业</w:t>
            </w:r>
            <w:r/>
          </w:p>
        </w:tc>
      </w:tr>
      <w:tr>
        <w:trPr>
          <w:cantSplit/>
          <w:jc w:val="center"/>
          <w:trHeight w:val="291"/>
        </w:trPr>
        <w:tc>
          <w:tcPr>
            <w:tcW w:w="971" w:type="dxa"/>
            <w:vAlign w:val="center"/>
            <w:textDirection w:val="lrTb"/>
            <w:noWrap w:val="false"/>
          </w:tcPr>
          <w:p>
            <w:pPr>
              <w:jc w:val="center"/>
              <w:spacing w:line="480" w:lineRule="exact"/>
              <w:tabs>
                <w:tab w:val="left" w:pos="2020" w:leader="none"/>
              </w:tabs>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p>
        </w:tc>
        <w:tc>
          <w:tcPr>
            <w:tcW w:w="735" w:type="dxa"/>
            <w:vAlign w:val="center"/>
            <w:textDirection w:val="lrTb"/>
            <w:noWrap w:val="false"/>
          </w:tcPr>
          <w:p>
            <w:pPr>
              <w:jc w:val="center"/>
              <w:spacing w:line="480" w:lineRule="exact"/>
              <w:tabs>
                <w:tab w:val="left" w:pos="2020" w:leader="none"/>
              </w:tabs>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p>
        </w:tc>
        <w:tc>
          <w:tcPr>
            <w:tcW w:w="3150" w:type="dxa"/>
            <w:vAlign w:val="center"/>
            <w:textDirection w:val="lrTb"/>
            <w:noWrap w:val="false"/>
          </w:tcPr>
          <w:p>
            <w:pPr>
              <w:jc w:val="center"/>
              <w:spacing w:line="480" w:lineRule="exact"/>
              <w:tabs>
                <w:tab w:val="left" w:pos="2020" w:leader="none"/>
              </w:tabs>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电梯</w:t>
            </w:r>
            <w:r/>
          </w:p>
        </w:tc>
        <w:tc>
          <w:tcPr>
            <w:tcW w:w="2290" w:type="dxa"/>
            <w:vAlign w:val="center"/>
            <w:textDirection w:val="lrTb"/>
            <w:noWrap w:val="false"/>
          </w:tcPr>
          <w:p>
            <w:pPr>
              <w:ind w:firstLine="720"/>
              <w:spacing w:line="48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工业</w:t>
            </w:r>
            <w:r/>
          </w:p>
        </w:tc>
      </w:tr>
    </w:tbl>
    <w:p>
      <w:pPr>
        <w:ind w:firstLine="562"/>
        <w:spacing w:line="480" w:lineRule="exact"/>
        <w:rPr>
          <w:rFonts w:hint="eastAsia" w:ascii="宋体" w:hAnsi="宋体" w:eastAsia="宋体" w:cs="Times New Roman"/>
          <w:b/>
          <w:sz w:val="28"/>
          <w:szCs w:val="28"/>
          <w:highlight w:val="none"/>
        </w:rPr>
        <w:outlineLvl w:val="1"/>
      </w:pPr>
      <w:r>
        <w:rPr>
          <w:rFonts w:hint="eastAsia" w:ascii="宋体" w:hAnsi="宋体" w:eastAsia="宋体" w:cs="Times New Roman"/>
          <w:b/>
          <w:sz w:val="28"/>
          <w:szCs w:val="28"/>
          <w:highlight w:val="none"/>
        </w:rPr>
        <w:t xml:space="preserve">二、项目概况</w:t>
      </w:r>
      <w:r/>
    </w:p>
    <w:p>
      <w:pPr>
        <w:ind w:firstLine="480"/>
        <w:spacing w:line="400" w:lineRule="exact"/>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rPr>
        <w:t xml:space="preserve">（一）项目名称：</w:t>
      </w:r>
      <w:r>
        <w:rPr>
          <w:rFonts w:hint="eastAsia" w:ascii="宋体" w:hAnsi="宋体" w:eastAsia="宋体" w:cs="Times New Roman"/>
          <w:sz w:val="24"/>
          <w:szCs w:val="24"/>
          <w:highlight w:val="none"/>
          <w:lang w:eastAsia="zh-CN"/>
        </w:rPr>
        <w:t xml:space="preserve">沭阳县城区部分老旧小区电梯更新项目</w:t>
      </w:r>
      <w:r/>
    </w:p>
    <w:p>
      <w:pPr>
        <w:ind w:firstLine="480"/>
        <w:spacing w:line="400" w:lineRule="exact"/>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rPr>
        <w:t xml:space="preserve">（二）预算金额:</w:t>
      </w:r>
      <w:r>
        <w:rPr>
          <w:rFonts w:hint="eastAsia" w:ascii="宋体" w:hAnsi="宋体" w:eastAsia="宋体" w:cs="宋体"/>
          <w:sz w:val="24"/>
          <w:szCs w:val="24"/>
          <w:highlight w:val="none"/>
          <w:shd w:val="clear" w:color="auto" w:fill="ffffff"/>
          <w:lang w:val="en-US" w:eastAsia="zh-CN"/>
        </w:rPr>
        <w:t xml:space="preserve">1700</w:t>
      </w:r>
      <w:r>
        <w:rPr>
          <w:rFonts w:hint="eastAsia" w:ascii="宋体" w:hAnsi="宋体" w:eastAsia="宋体" w:cs="宋体"/>
          <w:sz w:val="24"/>
          <w:szCs w:val="24"/>
          <w:highlight w:val="none"/>
          <w:shd w:val="clear" w:color="auto" w:fill="ffffff"/>
        </w:rPr>
        <w:t xml:space="preserve">万元（分包一为</w:t>
      </w:r>
      <w:r>
        <w:rPr>
          <w:rFonts w:hint="eastAsia" w:ascii="宋体" w:hAnsi="宋体" w:eastAsia="宋体" w:cs="宋体"/>
          <w:sz w:val="24"/>
          <w:szCs w:val="24"/>
          <w:highlight w:val="none"/>
          <w:shd w:val="clear" w:color="auto" w:fill="ffffff"/>
          <w:lang w:val="en-US" w:eastAsia="zh-CN"/>
        </w:rPr>
        <w:t xml:space="preserve">850</w:t>
      </w:r>
      <w:r>
        <w:rPr>
          <w:rFonts w:hint="eastAsia" w:ascii="宋体" w:hAnsi="宋体" w:eastAsia="宋体" w:cs="宋体"/>
          <w:sz w:val="24"/>
          <w:szCs w:val="24"/>
          <w:highlight w:val="none"/>
          <w:shd w:val="clear" w:color="auto" w:fill="ffffff"/>
        </w:rPr>
        <w:t xml:space="preserve">万元，分包二为</w:t>
      </w:r>
      <w:r>
        <w:rPr>
          <w:rFonts w:hint="eastAsia" w:ascii="宋体" w:hAnsi="宋体" w:eastAsia="宋体" w:cs="宋体"/>
          <w:sz w:val="24"/>
          <w:szCs w:val="24"/>
          <w:highlight w:val="none"/>
          <w:shd w:val="clear" w:color="auto" w:fill="ffffff"/>
          <w:lang w:val="en-US" w:eastAsia="zh-CN"/>
        </w:rPr>
        <w:t xml:space="preserve">850</w:t>
      </w:r>
      <w:r>
        <w:rPr>
          <w:rFonts w:hint="eastAsia" w:ascii="宋体" w:hAnsi="宋体" w:eastAsia="宋体" w:cs="宋体"/>
          <w:sz w:val="24"/>
          <w:szCs w:val="24"/>
          <w:highlight w:val="none"/>
          <w:shd w:val="clear" w:color="auto" w:fill="ffffff"/>
        </w:rPr>
        <w:t xml:space="preserve">万元）</w:t>
      </w:r>
      <w:r/>
    </w:p>
    <w:p>
      <w:pPr>
        <w:ind w:firstLine="480"/>
        <w:spacing w:line="480" w:lineRule="exact"/>
        <w:rPr>
          <w:rFonts w:hint="eastAsia" w:ascii="宋体" w:hAnsi="宋体" w:eastAsia="宋体" w:cs="宋体"/>
          <w:sz w:val="24"/>
          <w:szCs w:val="24"/>
          <w:highlight w:val="none"/>
          <w:shd w:val="clear" w:color="auto" w:fill="ffffff"/>
        </w:rPr>
      </w:pPr>
      <w:r>
        <w:rPr>
          <w:rFonts w:hint="eastAsia" w:ascii="宋体" w:hAnsi="宋体" w:eastAsia="宋体" w:cs="宋体"/>
          <w:sz w:val="24"/>
          <w:szCs w:val="22"/>
          <w:highlight w:val="none"/>
        </w:rPr>
        <w:t xml:space="preserve">（三）采购内容：本项目更新范围</w:t>
      </w:r>
      <w:r>
        <w:rPr>
          <w:rFonts w:hint="eastAsia" w:ascii="Times New Roman" w:hAnsi="Times New Roman" w:cs="仿宋"/>
          <w:color w:val="auto"/>
          <w:sz w:val="24"/>
          <w:szCs w:val="24"/>
          <w:highlight w:val="none"/>
        </w:rPr>
        <w:t xml:space="preserve">为</w:t>
      </w:r>
      <w:r>
        <w:rPr>
          <w:rFonts w:hint="eastAsia" w:ascii="Times New Roman" w:hAnsi="Times New Roman" w:cs="仿宋"/>
          <w:color w:val="auto"/>
          <w:sz w:val="24"/>
          <w:szCs w:val="24"/>
          <w:highlight w:val="none"/>
          <w:lang w:val="en-US" w:eastAsia="zh-CN"/>
        </w:rPr>
        <w:t xml:space="preserve">沭阳</w:t>
      </w:r>
      <w:r>
        <w:rPr>
          <w:rFonts w:hint="eastAsia" w:ascii="Times New Roman" w:hAnsi="Times New Roman" w:cs="仿宋"/>
          <w:color w:val="auto"/>
          <w:sz w:val="24"/>
          <w:szCs w:val="24"/>
          <w:highlight w:val="none"/>
          <w:lang w:eastAsia="zh-CN"/>
        </w:rPr>
        <w:t xml:space="preserve">县</w:t>
      </w:r>
      <w:r>
        <w:rPr>
          <w:rFonts w:hint="eastAsia" w:ascii="Times New Roman" w:hAnsi="Times New Roman" w:cs="仿宋"/>
          <w:color w:val="auto"/>
          <w:sz w:val="24"/>
          <w:szCs w:val="24"/>
          <w:highlight w:val="none"/>
        </w:rPr>
        <w:t xml:space="preserve">城区老旧小区</w:t>
      </w:r>
      <w:r>
        <w:rPr>
          <w:rFonts w:hint="eastAsia" w:ascii="宋体" w:hAnsi="宋体" w:eastAsia="宋体" w:cs="宋体"/>
          <w:sz w:val="24"/>
          <w:szCs w:val="22"/>
          <w:highlight w:val="none"/>
        </w:rPr>
        <w:t xml:space="preserve">共需更换电梯112部（分包一分包二各56部，具体划分范围详见附件）</w:t>
      </w:r>
      <w:r>
        <w:rPr>
          <w:rFonts w:hint="eastAsia" w:ascii="宋体" w:hAnsi="宋体" w:eastAsia="宋体" w:cs="宋体"/>
          <w:sz w:val="24"/>
          <w:szCs w:val="22"/>
          <w:highlight w:val="none"/>
          <w:lang w:eastAsia="zh-CN"/>
        </w:rPr>
        <w:t xml:space="preserve">，</w:t>
      </w:r>
      <w:r>
        <w:rPr>
          <w:rFonts w:hint="eastAsia" w:ascii="Times New Roman" w:hAnsi="Times New Roman" w:cs="仿宋"/>
          <w:color w:val="auto"/>
          <w:sz w:val="24"/>
          <w:szCs w:val="24"/>
          <w:highlight w:val="none"/>
        </w:rPr>
        <w:t xml:space="preserve">包含原有电梯拆除、新电梯采购</w:t>
      </w:r>
      <w:r>
        <w:rPr>
          <w:rFonts w:hint="eastAsia" w:ascii="Times New Roman" w:hAnsi="Times New Roman" w:cs="仿宋"/>
          <w:color w:val="auto"/>
          <w:sz w:val="24"/>
          <w:szCs w:val="24"/>
          <w:highlight w:val="none"/>
          <w:lang w:eastAsia="zh-CN"/>
        </w:rPr>
        <w:t xml:space="preserve">、</w:t>
      </w:r>
      <w:r>
        <w:rPr>
          <w:rFonts w:hint="eastAsia" w:ascii="Times New Roman" w:hAnsi="Times New Roman" w:cs="仿宋"/>
          <w:color w:val="auto"/>
          <w:sz w:val="24"/>
          <w:szCs w:val="24"/>
          <w:highlight w:val="none"/>
        </w:rPr>
        <w:t xml:space="preserve">安装</w:t>
      </w:r>
      <w:r>
        <w:rPr>
          <w:rFonts w:hint="eastAsia" w:ascii="Times New Roman" w:hAnsi="Times New Roman" w:cs="仿宋"/>
          <w:color w:val="auto"/>
          <w:sz w:val="24"/>
          <w:szCs w:val="24"/>
          <w:highlight w:val="none"/>
          <w:lang w:val="en-US" w:eastAsia="zh-CN"/>
        </w:rPr>
        <w:t xml:space="preserve">及维保</w:t>
      </w:r>
      <w:r>
        <w:rPr>
          <w:rFonts w:hint="eastAsia" w:ascii="Times New Roman" w:hAnsi="Times New Roman" w:cs="仿宋"/>
          <w:color w:val="auto"/>
          <w:sz w:val="24"/>
          <w:szCs w:val="24"/>
          <w:highlight w:val="none"/>
        </w:rPr>
        <w:t xml:space="preserve">等</w:t>
      </w:r>
      <w:r>
        <w:rPr>
          <w:rFonts w:hint="eastAsia" w:ascii="Times New Roman" w:hAnsi="Times New Roman" w:cs="仿宋"/>
          <w:color w:val="auto"/>
          <w:sz w:val="24"/>
          <w:szCs w:val="24"/>
          <w:highlight w:val="none"/>
          <w:lang w:eastAsia="zh-CN"/>
        </w:rPr>
        <w:t xml:space="preserve">，</w:t>
      </w:r>
      <w:r>
        <w:rPr>
          <w:rFonts w:hint="eastAsia" w:ascii="Times New Roman" w:hAnsi="Times New Roman" w:cs="仿宋"/>
          <w:color w:val="auto"/>
          <w:sz w:val="24"/>
          <w:szCs w:val="24"/>
          <w:highlight w:val="none"/>
          <w:lang w:val="en-US" w:eastAsia="zh-CN"/>
        </w:rPr>
        <w:t xml:space="preserve">详见采购需求。</w:t>
      </w:r>
      <w:r/>
    </w:p>
    <w:p>
      <w:pPr>
        <w:ind w:firstLine="482"/>
        <w:jc w:val="left"/>
        <w:spacing w:line="480" w:lineRule="exact"/>
        <w:widowControl w:val="off"/>
        <w:rPr>
          <w:rFonts w:hint="eastAsia" w:ascii="宋体" w:hAnsi="宋体" w:eastAsia="宋体" w:cs="宋体"/>
          <w:sz w:val="24"/>
          <w:szCs w:val="22"/>
          <w:highlight w:val="none"/>
          <w:lang w:val="en-US" w:eastAsia="zh-CN" w:bidi="ar-SA"/>
        </w:rPr>
      </w:pPr>
      <w:r>
        <w:rPr>
          <w:rFonts w:hint="eastAsia" w:ascii="宋体" w:hAnsi="宋体" w:eastAsia="宋体" w:cs="宋体"/>
          <w:sz w:val="24"/>
          <w:szCs w:val="24"/>
          <w:highlight w:val="none"/>
          <w:shd w:val="clear" w:color="auto" w:fill="ffffff"/>
          <w:lang w:val="en-US" w:eastAsia="zh-CN" w:bidi="ar-SA"/>
        </w:rPr>
        <w:t xml:space="preserve">（四）</w:t>
      </w:r>
      <w:r>
        <w:rPr>
          <w:rFonts w:hint="eastAsia" w:ascii="宋体" w:hAnsi="宋体" w:eastAsia="宋体" w:cs="宋体"/>
          <w:sz w:val="24"/>
          <w:szCs w:val="22"/>
          <w:highlight w:val="none"/>
          <w:lang w:val="en-US" w:eastAsia="zh-CN" w:bidi="ar-SA"/>
        </w:rPr>
        <w:t xml:space="preserve">合同履行期限：合同签订后60日历天内完成供货安装调试。</w:t>
      </w:r>
      <w:r/>
    </w:p>
    <w:p>
      <w:pPr>
        <w:ind w:firstLine="562"/>
        <w:spacing w:line="480" w:lineRule="exact"/>
        <w:rPr>
          <w:rFonts w:hint="eastAsia" w:ascii="宋体" w:hAnsi="宋体" w:eastAsia="宋体" w:cs="Times New Roman"/>
          <w:b/>
          <w:sz w:val="28"/>
          <w:szCs w:val="28"/>
          <w:highlight w:val="none"/>
        </w:rPr>
        <w:outlineLvl w:val="1"/>
      </w:pPr>
      <w:r>
        <w:rPr>
          <w:rFonts w:hint="eastAsia" w:ascii="宋体" w:hAnsi="宋体" w:eastAsia="宋体" w:cs="Times New Roman"/>
          <w:b/>
          <w:sz w:val="28"/>
          <w:szCs w:val="28"/>
          <w:highlight w:val="none"/>
        </w:rPr>
        <w:t xml:space="preserve">三、货物清单及技术规范</w:t>
      </w:r>
      <w:r/>
    </w:p>
    <w:p>
      <w:pPr>
        <w:ind w:firstLine="482"/>
        <w:spacing w:line="4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（一）货物清单</w:t>
      </w:r>
      <w:r/>
    </w:p>
    <w:p>
      <w:pPr>
        <w:ind w:firstLine="562"/>
        <w:jc w:val="left"/>
        <w:spacing w:line="520" w:lineRule="exact"/>
        <w:rPr>
          <w:rFonts w:hint="eastAsia" w:ascii="仿宋" w:hAnsi="仿宋" w:eastAsia="仿宋" w:cs="仿宋"/>
          <w:b/>
          <w:bCs/>
          <w:sz w:val="28"/>
        </w:rPr>
      </w:pPr>
      <w:r>
        <w:rPr>
          <w:rFonts w:hint="eastAsia" w:ascii="仿宋" w:hAnsi="仿宋" w:eastAsia="仿宋" w:cs="仿宋"/>
          <w:b/>
          <w:bCs/>
          <w:sz w:val="28"/>
        </w:rPr>
        <w:t xml:space="preserve">本次招标对应采购包内的所投品牌必须保持一致。</w:t>
      </w:r>
      <w:r/>
    </w:p>
    <w:p>
      <w:pPr>
        <w:spacing w:line="400" w:lineRule="exact"/>
        <w:rPr>
          <w:rFonts w:hint="default" w:ascii="宋体" w:hAnsi="宋体" w:eastAsia="宋体" w:cs="Times New Roman"/>
          <w:b/>
          <w:sz w:val="24"/>
          <w:szCs w:val="24"/>
          <w:lang w:val="en-US" w:eastAsia="zh-CN"/>
        </w:rPr>
      </w:pPr>
      <w:r>
        <w:rPr>
          <w:rFonts w:hint="default" w:ascii="宋体" w:hAnsi="宋体" w:eastAsia="宋体" w:cs="Times New Roman"/>
          <w:b/>
          <w:sz w:val="24"/>
          <w:szCs w:val="24"/>
          <w:lang w:val="en-US" w:eastAsia="zh-CN"/>
        </w:rPr>
      </w:r>
      <w:r/>
    </w:p>
    <w:tbl>
      <w:tblPr>
        <w:tblStyle w:val="79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9"/>
        <w:gridCol w:w="1386"/>
        <w:gridCol w:w="4753"/>
        <w:gridCol w:w="958"/>
        <w:gridCol w:w="959"/>
      </w:tblGrid>
      <w:tr>
        <w:trPr>
          <w:jc w:val="center"/>
        </w:trPr>
        <w:tc>
          <w:tcPr>
            <w:tcW w:w="989" w:type="dxa"/>
            <w:textDirection w:val="lrTb"/>
            <w:noWrap w:val="false"/>
          </w:tcPr>
          <w:p>
            <w:pPr>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序号</w:t>
            </w:r>
            <w:r/>
          </w:p>
        </w:tc>
        <w:tc>
          <w:tcPr>
            <w:tcW w:w="1386" w:type="dxa"/>
            <w:textDirection w:val="lrTb"/>
            <w:noWrap w:val="false"/>
          </w:tcPr>
          <w:p>
            <w:pPr>
              <w:jc w:val="center"/>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货物名称</w:t>
            </w:r>
            <w:r/>
          </w:p>
        </w:tc>
        <w:tc>
          <w:tcPr>
            <w:tcW w:w="4753" w:type="dxa"/>
            <w:textDirection w:val="lrTb"/>
            <w:noWrap w:val="false"/>
          </w:tcPr>
          <w:p>
            <w:pPr>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技术要求</w:t>
            </w:r>
            <w:r/>
          </w:p>
        </w:tc>
        <w:tc>
          <w:tcPr>
            <w:tcW w:w="958" w:type="dxa"/>
            <w:textDirection w:val="lrTb"/>
            <w:noWrap w:val="false"/>
          </w:tcPr>
          <w:p>
            <w:pPr>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单位</w:t>
            </w:r>
            <w:r/>
          </w:p>
        </w:tc>
        <w:tc>
          <w:tcPr>
            <w:tcW w:w="959" w:type="dxa"/>
            <w:textDirection w:val="lrTb"/>
            <w:noWrap w:val="false"/>
          </w:tcPr>
          <w:p>
            <w:pPr>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数量</w:t>
            </w:r>
            <w:r/>
          </w:p>
        </w:tc>
      </w:tr>
      <w:tr>
        <w:trPr>
          <w:jc w:val="center"/>
        </w:trPr>
        <w:tc>
          <w:tcPr>
            <w:tcW w:w="989" w:type="dxa"/>
            <w:vAlign w:val="center"/>
            <w:textDirection w:val="lrTb"/>
            <w:noWrap w:val="false"/>
          </w:tcPr>
          <w:p>
            <w:pPr>
              <w:jc w:val="center"/>
              <w:spacing w:line="400" w:lineRule="exact"/>
              <w:rPr>
                <w:rFonts w:hint="eastAsia" w:ascii="宋体" w:hAnsi="宋体" w:eastAsia="宋体" w:cs="宋体"/>
                <w:b/>
                <w:color w:val="auto"/>
                <w:sz w:val="24"/>
                <w:szCs w:val="24"/>
              </w:rPr>
            </w:pPr>
            <w:r/>
            <w:bookmarkStart w:id="128" w:name="_Hlk212473986"/>
            <w:r>
              <w:rPr>
                <w:rFonts w:hint="eastAsia" w:ascii="宋体" w:hAnsi="宋体" w:eastAsia="宋体" w:cs="宋体"/>
                <w:b/>
                <w:color w:val="auto"/>
                <w:sz w:val="24"/>
                <w:szCs w:val="24"/>
              </w:rPr>
              <w:t xml:space="preserve">1</w:t>
            </w:r>
            <w:r/>
          </w:p>
        </w:tc>
        <w:tc>
          <w:tcPr>
            <w:tcW w:w="1386" w:type="dxa"/>
            <w:vAlign w:val="center"/>
            <w:textDirection w:val="lrTb"/>
            <w:noWrap w:val="false"/>
          </w:tcPr>
          <w:p>
            <w:pPr>
              <w:jc w:val="center"/>
              <w:spacing w:line="400" w:lineRule="exact"/>
              <w:rPr>
                <w:rFonts w:hint="eastAsia" w:ascii="宋体" w:hAnsi="宋体" w:eastAsia="宋体" w:cs="宋体"/>
                <w:b/>
                <w:color w:val="auto"/>
                <w:sz w:val="24"/>
                <w:szCs w:val="24"/>
              </w:rPr>
            </w:pPr>
            <w:r>
              <w:rPr>
                <w:rFonts w:hint="eastAsia" w:ascii="宋体" w:hAnsi="宋体" w:eastAsia="宋体" w:cs="宋体"/>
                <w:b/>
                <w:bCs/>
                <w:color w:val="auto"/>
                <w:sz w:val="24"/>
                <w:szCs w:val="24"/>
              </w:rPr>
              <w:t xml:space="preserve">电梯</w:t>
            </w:r>
            <w:r/>
          </w:p>
        </w:tc>
        <w:tc>
          <w:tcPr>
            <w:tcW w:w="4753" w:type="dxa"/>
            <w:vAlign w:val="center"/>
            <w:textDirection w:val="lrTb"/>
            <w:noWrap w:val="false"/>
          </w:tcPr>
          <w:p>
            <w:pPr>
              <w:jc w:val="center"/>
              <w:spacing w:line="400" w:lineRule="exact"/>
              <w:rPr>
                <w:rFonts w:hint="eastAsia" w:ascii="宋体" w:hAnsi="宋体" w:eastAsia="宋体" w:cs="宋体"/>
                <w:b/>
                <w:color w:val="auto"/>
                <w:sz w:val="24"/>
                <w:szCs w:val="24"/>
              </w:rPr>
            </w:pPr>
            <w:r>
              <w:rPr>
                <w:rFonts w:hint="eastAsia" w:ascii="宋体" w:hAnsi="宋体" w:eastAsia="宋体" w:cs="宋体"/>
                <w:color w:val="auto"/>
                <w:sz w:val="24"/>
                <w:szCs w:val="24"/>
              </w:rPr>
              <w:t xml:space="preserve">有机房乘客电梯，额定载重800kg，8层8站8门，含井道和机房更新，具体技术要求详见“（二）</w:t>
            </w:r>
            <w:r>
              <w:rPr>
                <w:rFonts w:hint="eastAsia" w:ascii="宋体" w:hAnsi="宋体" w:eastAsia="宋体" w:cs="宋体"/>
                <w:b/>
                <w:color w:val="auto"/>
                <w:sz w:val="24"/>
                <w:szCs w:val="24"/>
              </w:rPr>
              <w:t xml:space="preserve">电梯技术要求</w:t>
            </w:r>
            <w:r>
              <w:rPr>
                <w:rFonts w:hint="eastAsia" w:ascii="宋体" w:hAnsi="宋体" w:eastAsia="宋体" w:cs="宋体"/>
                <w:color w:val="auto"/>
                <w:sz w:val="24"/>
                <w:szCs w:val="24"/>
              </w:rPr>
              <w:t xml:space="preserve">”</w:t>
            </w:r>
            <w:r/>
          </w:p>
        </w:tc>
        <w:tc>
          <w:tcPr>
            <w:tcW w:w="958" w:type="dxa"/>
            <w:vAlign w:val="center"/>
            <w:textDirection w:val="lrTb"/>
            <w:noWrap w:val="false"/>
          </w:tcPr>
          <w:p>
            <w:pPr>
              <w:jc w:val="cente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部</w:t>
            </w:r>
            <w:r/>
          </w:p>
        </w:tc>
        <w:tc>
          <w:tcPr>
            <w:tcW w:w="959" w:type="dxa"/>
            <w:vAlign w:val="center"/>
            <w:textDirection w:val="lrTb"/>
            <w:noWrap w:val="false"/>
          </w:tcPr>
          <w:p>
            <w:pPr>
              <w:jc w:val="center"/>
              <w:spacing w:line="400" w:lineRule="exact"/>
              <w:rPr>
                <w:rFonts w:hint="eastAsia" w:ascii="宋体" w:hAnsi="宋体" w:eastAsia="宋体" w:cs="宋体"/>
                <w:b/>
                <w:color w:val="auto"/>
                <w:sz w:val="24"/>
                <w:szCs w:val="24"/>
              </w:rPr>
            </w:pPr>
            <w:r>
              <w:rPr>
                <w:rFonts w:hint="eastAsia" w:ascii="宋体" w:hAnsi="宋体" w:eastAsia="宋体" w:cs="宋体"/>
                <w:b/>
                <w:bCs/>
                <w:color w:val="auto"/>
                <w:sz w:val="24"/>
                <w:szCs w:val="24"/>
              </w:rPr>
              <w:t xml:space="preserve">2</w:t>
            </w:r>
            <w:bookmarkEnd w:id="128"/>
            <w:r/>
          </w:p>
        </w:tc>
      </w:tr>
      <w:tr>
        <w:trPr>
          <w:jc w:val="center"/>
        </w:trPr>
        <w:tc>
          <w:tcPr>
            <w:tcW w:w="989" w:type="dxa"/>
            <w:vAlign w:val="center"/>
            <w:textDirection w:val="lrTb"/>
            <w:noWrap w:val="false"/>
          </w:tcPr>
          <w:p>
            <w:pPr>
              <w:jc w:val="center"/>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2</w:t>
            </w:r>
            <w:r/>
          </w:p>
        </w:tc>
        <w:tc>
          <w:tcPr>
            <w:tcW w:w="1386" w:type="dxa"/>
            <w:vAlign w:val="center"/>
            <w:textDirection w:val="lrTb"/>
            <w:noWrap w:val="false"/>
          </w:tcPr>
          <w:p>
            <w:pPr>
              <w:jc w:val="center"/>
              <w:spacing w:line="400" w:lineRule="exact"/>
              <w:rPr>
                <w:rFonts w:hint="eastAsia" w:ascii="宋体" w:hAnsi="宋体" w:eastAsia="宋体" w:cs="宋体"/>
                <w:b/>
                <w:color w:val="auto"/>
                <w:sz w:val="24"/>
                <w:szCs w:val="24"/>
              </w:rPr>
            </w:pPr>
            <w:r>
              <w:rPr>
                <w:rFonts w:hint="eastAsia" w:ascii="宋体" w:hAnsi="宋体" w:eastAsia="宋体" w:cs="宋体"/>
                <w:b/>
                <w:bCs/>
                <w:color w:val="auto"/>
                <w:sz w:val="24"/>
                <w:szCs w:val="24"/>
              </w:rPr>
              <w:t xml:space="preserve">电梯</w:t>
            </w:r>
            <w:r/>
          </w:p>
        </w:tc>
        <w:tc>
          <w:tcPr>
            <w:tcW w:w="4753"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有机房乘客电梯，额定载重800kg，9层9站9门，含井道和机房更新，具体技术要求详见“（二）</w:t>
            </w:r>
            <w:r>
              <w:rPr>
                <w:rFonts w:hint="eastAsia" w:ascii="宋体" w:hAnsi="宋体" w:eastAsia="宋体" w:cs="宋体"/>
                <w:b/>
                <w:color w:val="auto"/>
                <w:sz w:val="24"/>
                <w:szCs w:val="24"/>
              </w:rPr>
              <w:t xml:space="preserve">电梯技术要求</w:t>
            </w:r>
            <w:r>
              <w:rPr>
                <w:rFonts w:hint="eastAsia" w:ascii="宋体" w:hAnsi="宋体" w:eastAsia="宋体" w:cs="宋体"/>
                <w:color w:val="auto"/>
                <w:sz w:val="24"/>
                <w:szCs w:val="24"/>
              </w:rPr>
              <w:t xml:space="preserve">”</w:t>
            </w:r>
            <w:r/>
          </w:p>
        </w:tc>
        <w:tc>
          <w:tcPr>
            <w:tcW w:w="958" w:type="dxa"/>
            <w:vAlign w:val="center"/>
            <w:textDirection w:val="lrTb"/>
            <w:noWrap w:val="false"/>
          </w:tcPr>
          <w:p>
            <w:pPr>
              <w:jc w:val="cente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部</w:t>
            </w:r>
            <w:r/>
          </w:p>
        </w:tc>
        <w:tc>
          <w:tcPr>
            <w:tcW w:w="959" w:type="dxa"/>
            <w:vAlign w:val="center"/>
            <w:textDirection w:val="lrTb"/>
            <w:noWrap w:val="false"/>
          </w:tcPr>
          <w:p>
            <w:pPr>
              <w:jc w:val="cente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16</w:t>
            </w:r>
            <w:r/>
          </w:p>
        </w:tc>
      </w:tr>
      <w:tr>
        <w:trPr>
          <w:jc w:val="center"/>
        </w:trPr>
        <w:tc>
          <w:tcPr>
            <w:tcW w:w="989" w:type="dxa"/>
            <w:vAlign w:val="center"/>
            <w:textDirection w:val="lrTb"/>
            <w:noWrap w:val="false"/>
          </w:tcPr>
          <w:p>
            <w:pPr>
              <w:jc w:val="center"/>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3</w:t>
            </w:r>
            <w:r/>
          </w:p>
        </w:tc>
        <w:tc>
          <w:tcPr>
            <w:tcW w:w="1386" w:type="dxa"/>
            <w:vAlign w:val="center"/>
            <w:textDirection w:val="lrTb"/>
            <w:noWrap w:val="false"/>
          </w:tcPr>
          <w:p>
            <w:pPr>
              <w:jc w:val="center"/>
              <w:spacing w:line="400" w:lineRule="exact"/>
              <w:rPr>
                <w:rFonts w:hint="eastAsia" w:ascii="宋体" w:hAnsi="宋体" w:eastAsia="宋体" w:cs="宋体"/>
                <w:b/>
                <w:color w:val="auto"/>
                <w:sz w:val="24"/>
                <w:szCs w:val="24"/>
              </w:rPr>
            </w:pPr>
            <w:r>
              <w:rPr>
                <w:rFonts w:hint="eastAsia" w:ascii="宋体" w:hAnsi="宋体" w:eastAsia="宋体" w:cs="宋体"/>
                <w:b/>
                <w:bCs/>
                <w:color w:val="auto"/>
                <w:sz w:val="24"/>
                <w:szCs w:val="24"/>
              </w:rPr>
              <w:t xml:space="preserve">电梯</w:t>
            </w:r>
            <w:r/>
          </w:p>
        </w:tc>
        <w:tc>
          <w:tcPr>
            <w:tcW w:w="4753"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有机房乘客电梯，额定载重800kg，10层10站10门，含井道和机房更新，具体技术要求详见“（二）</w:t>
            </w:r>
            <w:r>
              <w:rPr>
                <w:rFonts w:hint="eastAsia" w:ascii="宋体" w:hAnsi="宋体" w:eastAsia="宋体" w:cs="宋体"/>
                <w:b/>
                <w:color w:val="auto"/>
                <w:sz w:val="24"/>
                <w:szCs w:val="24"/>
              </w:rPr>
              <w:t xml:space="preserve">电梯技术要求</w:t>
            </w:r>
            <w:r>
              <w:rPr>
                <w:rFonts w:hint="eastAsia" w:ascii="宋体" w:hAnsi="宋体" w:eastAsia="宋体" w:cs="宋体"/>
                <w:color w:val="auto"/>
                <w:sz w:val="24"/>
                <w:szCs w:val="24"/>
              </w:rPr>
              <w:t xml:space="preserve">”</w:t>
            </w:r>
            <w:r/>
          </w:p>
        </w:tc>
        <w:tc>
          <w:tcPr>
            <w:tcW w:w="958" w:type="dxa"/>
            <w:vAlign w:val="center"/>
            <w:textDirection w:val="lrTb"/>
            <w:noWrap w:val="false"/>
          </w:tcPr>
          <w:p>
            <w:pPr>
              <w:jc w:val="cente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部</w:t>
            </w:r>
            <w:r/>
          </w:p>
        </w:tc>
        <w:tc>
          <w:tcPr>
            <w:tcW w:w="959" w:type="dxa"/>
            <w:vAlign w:val="center"/>
            <w:textDirection w:val="lrTb"/>
            <w:noWrap w:val="false"/>
          </w:tcPr>
          <w:p>
            <w:pPr>
              <w:jc w:val="cente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w:t>
            </w:r>
            <w:r/>
          </w:p>
        </w:tc>
      </w:tr>
      <w:tr>
        <w:trPr>
          <w:jc w:val="center"/>
        </w:trPr>
        <w:tc>
          <w:tcPr>
            <w:tcW w:w="989" w:type="dxa"/>
            <w:vAlign w:val="center"/>
            <w:textDirection w:val="lrTb"/>
            <w:noWrap w:val="false"/>
          </w:tcPr>
          <w:p>
            <w:pPr>
              <w:jc w:val="center"/>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4</w:t>
            </w:r>
            <w:r/>
          </w:p>
        </w:tc>
        <w:tc>
          <w:tcPr>
            <w:tcW w:w="1386" w:type="dxa"/>
            <w:vAlign w:val="center"/>
            <w:textDirection w:val="lrTb"/>
            <w:noWrap w:val="false"/>
          </w:tcPr>
          <w:p>
            <w:pPr>
              <w:jc w:val="center"/>
              <w:spacing w:line="400" w:lineRule="exact"/>
              <w:rPr>
                <w:rFonts w:hint="eastAsia" w:ascii="宋体" w:hAnsi="宋体" w:eastAsia="宋体" w:cs="宋体"/>
                <w:b/>
                <w:color w:val="auto"/>
                <w:sz w:val="24"/>
                <w:szCs w:val="24"/>
              </w:rPr>
            </w:pPr>
            <w:r>
              <w:rPr>
                <w:rFonts w:hint="eastAsia" w:ascii="宋体" w:hAnsi="宋体" w:eastAsia="宋体" w:cs="宋体"/>
                <w:b/>
                <w:bCs/>
                <w:color w:val="auto"/>
                <w:sz w:val="24"/>
                <w:szCs w:val="24"/>
              </w:rPr>
              <w:t xml:space="preserve">电梯</w:t>
            </w:r>
            <w:r/>
          </w:p>
        </w:tc>
        <w:tc>
          <w:tcPr>
            <w:tcW w:w="4753"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有机房乘客电梯，额定载重800kg，11层11站11门，含井道和机房更新，具体技术要求详见“（二）</w:t>
            </w:r>
            <w:r>
              <w:rPr>
                <w:rFonts w:hint="eastAsia" w:ascii="宋体" w:hAnsi="宋体" w:eastAsia="宋体" w:cs="宋体"/>
                <w:b/>
                <w:color w:val="auto"/>
                <w:sz w:val="24"/>
                <w:szCs w:val="24"/>
              </w:rPr>
              <w:t xml:space="preserve">电梯技术要求</w:t>
            </w:r>
            <w:r>
              <w:rPr>
                <w:rFonts w:hint="eastAsia" w:ascii="宋体" w:hAnsi="宋体" w:eastAsia="宋体" w:cs="宋体"/>
                <w:color w:val="auto"/>
                <w:sz w:val="24"/>
                <w:szCs w:val="24"/>
              </w:rPr>
              <w:t xml:space="preserve">”</w:t>
            </w:r>
            <w:r/>
          </w:p>
        </w:tc>
        <w:tc>
          <w:tcPr>
            <w:tcW w:w="958" w:type="dxa"/>
            <w:vAlign w:val="center"/>
            <w:textDirection w:val="lrTb"/>
            <w:noWrap w:val="false"/>
          </w:tcPr>
          <w:p>
            <w:pPr>
              <w:jc w:val="cente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部</w:t>
            </w:r>
            <w:r/>
          </w:p>
        </w:tc>
        <w:tc>
          <w:tcPr>
            <w:tcW w:w="959" w:type="dxa"/>
            <w:vAlign w:val="center"/>
            <w:textDirection w:val="lrTb"/>
            <w:noWrap w:val="false"/>
          </w:tcPr>
          <w:p>
            <w:pPr>
              <w:jc w:val="cente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21</w:t>
            </w:r>
            <w:r/>
          </w:p>
        </w:tc>
      </w:tr>
      <w:tr>
        <w:trPr>
          <w:jc w:val="center"/>
        </w:trPr>
        <w:tc>
          <w:tcPr>
            <w:tcW w:w="989" w:type="dxa"/>
            <w:vAlign w:val="center"/>
            <w:textDirection w:val="lrTb"/>
            <w:noWrap w:val="false"/>
          </w:tcPr>
          <w:p>
            <w:pPr>
              <w:jc w:val="center"/>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5</w:t>
            </w:r>
            <w:r/>
          </w:p>
        </w:tc>
        <w:tc>
          <w:tcPr>
            <w:tcW w:w="1386" w:type="dxa"/>
            <w:vAlign w:val="center"/>
            <w:textDirection w:val="lrTb"/>
            <w:noWrap w:val="false"/>
          </w:tcPr>
          <w:p>
            <w:pPr>
              <w:jc w:val="center"/>
              <w:spacing w:line="400" w:lineRule="exact"/>
              <w:rPr>
                <w:rFonts w:hint="eastAsia" w:ascii="宋体" w:hAnsi="宋体" w:eastAsia="宋体" w:cs="宋体"/>
                <w:b/>
                <w:color w:val="auto"/>
                <w:sz w:val="24"/>
                <w:szCs w:val="24"/>
              </w:rPr>
            </w:pPr>
            <w:r>
              <w:rPr>
                <w:rFonts w:hint="eastAsia" w:ascii="宋体" w:hAnsi="宋体" w:eastAsia="宋体" w:cs="宋体"/>
                <w:b/>
                <w:bCs/>
                <w:color w:val="auto"/>
                <w:sz w:val="24"/>
                <w:szCs w:val="24"/>
              </w:rPr>
              <w:t xml:space="preserve">电梯</w:t>
            </w:r>
            <w:r/>
          </w:p>
        </w:tc>
        <w:tc>
          <w:tcPr>
            <w:tcW w:w="4753"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有机房乘客电梯，额定载重800kg，12层12站12门，含井道和机房更新，具体技术要求详见“（二）</w:t>
            </w:r>
            <w:r>
              <w:rPr>
                <w:rFonts w:hint="eastAsia" w:ascii="宋体" w:hAnsi="宋体" w:eastAsia="宋体" w:cs="宋体"/>
                <w:b/>
                <w:color w:val="auto"/>
                <w:sz w:val="24"/>
                <w:szCs w:val="24"/>
              </w:rPr>
              <w:t xml:space="preserve">电梯技术要求</w:t>
            </w:r>
            <w:r>
              <w:rPr>
                <w:rFonts w:hint="eastAsia" w:ascii="宋体" w:hAnsi="宋体" w:eastAsia="宋体" w:cs="宋体"/>
                <w:color w:val="auto"/>
                <w:sz w:val="24"/>
                <w:szCs w:val="24"/>
              </w:rPr>
              <w:t xml:space="preserve">”</w:t>
            </w:r>
            <w:r/>
          </w:p>
        </w:tc>
        <w:tc>
          <w:tcPr>
            <w:tcW w:w="958" w:type="dxa"/>
            <w:vAlign w:val="center"/>
            <w:textDirection w:val="lrTb"/>
            <w:noWrap w:val="false"/>
          </w:tcPr>
          <w:p>
            <w:pPr>
              <w:jc w:val="cente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部</w:t>
            </w:r>
            <w:r/>
          </w:p>
        </w:tc>
        <w:tc>
          <w:tcPr>
            <w:tcW w:w="959" w:type="dxa"/>
            <w:vAlign w:val="center"/>
            <w:textDirection w:val="lrTb"/>
            <w:noWrap w:val="false"/>
          </w:tcPr>
          <w:p>
            <w:pPr>
              <w:jc w:val="cente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7</w:t>
            </w:r>
            <w:r/>
          </w:p>
        </w:tc>
      </w:tr>
      <w:tr>
        <w:trPr>
          <w:jc w:val="center"/>
        </w:trPr>
        <w:tc>
          <w:tcPr>
            <w:tcW w:w="989" w:type="dxa"/>
            <w:vAlign w:val="center"/>
            <w:textDirection w:val="lrTb"/>
            <w:noWrap w:val="false"/>
          </w:tcPr>
          <w:p>
            <w:pPr>
              <w:jc w:val="center"/>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6</w:t>
            </w:r>
            <w:r/>
          </w:p>
        </w:tc>
        <w:tc>
          <w:tcPr>
            <w:tcW w:w="1386" w:type="dxa"/>
            <w:vAlign w:val="center"/>
            <w:textDirection w:val="lrTb"/>
            <w:noWrap w:val="false"/>
          </w:tcPr>
          <w:p>
            <w:pPr>
              <w:jc w:val="cente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电梯</w:t>
            </w:r>
            <w:r/>
          </w:p>
        </w:tc>
        <w:tc>
          <w:tcPr>
            <w:tcW w:w="4753"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有机房乘客电梯，额定载重800kg，13层13站13门，含井道和机房更新，具体技术要求详见“（二）</w:t>
            </w:r>
            <w:r>
              <w:rPr>
                <w:rFonts w:hint="eastAsia" w:ascii="宋体" w:hAnsi="宋体" w:eastAsia="宋体" w:cs="宋体"/>
                <w:b/>
                <w:color w:val="auto"/>
                <w:sz w:val="24"/>
                <w:szCs w:val="24"/>
              </w:rPr>
              <w:t xml:space="preserve">电梯技术要求</w:t>
            </w:r>
            <w:r>
              <w:rPr>
                <w:rFonts w:hint="eastAsia" w:ascii="宋体" w:hAnsi="宋体" w:eastAsia="宋体" w:cs="宋体"/>
                <w:color w:val="auto"/>
                <w:sz w:val="24"/>
                <w:szCs w:val="24"/>
              </w:rPr>
              <w:t xml:space="preserve">”</w:t>
            </w:r>
            <w:r/>
          </w:p>
        </w:tc>
        <w:tc>
          <w:tcPr>
            <w:tcW w:w="958" w:type="dxa"/>
            <w:vAlign w:val="center"/>
            <w:textDirection w:val="lrTb"/>
            <w:noWrap w:val="false"/>
          </w:tcPr>
          <w:p>
            <w:pPr>
              <w:jc w:val="cente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部</w:t>
            </w:r>
            <w:r/>
          </w:p>
        </w:tc>
        <w:tc>
          <w:tcPr>
            <w:tcW w:w="959" w:type="dxa"/>
            <w:vAlign w:val="center"/>
            <w:textDirection w:val="lrTb"/>
            <w:noWrap w:val="false"/>
          </w:tcPr>
          <w:p>
            <w:pPr>
              <w:jc w:val="cente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16</w:t>
            </w:r>
            <w:r/>
          </w:p>
        </w:tc>
      </w:tr>
      <w:tr>
        <w:trPr>
          <w:jc w:val="center"/>
        </w:trPr>
        <w:tc>
          <w:tcPr>
            <w:tcW w:w="989" w:type="dxa"/>
            <w:vAlign w:val="center"/>
            <w:textDirection w:val="lrTb"/>
            <w:noWrap w:val="false"/>
          </w:tcPr>
          <w:p>
            <w:pPr>
              <w:jc w:val="center"/>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7</w:t>
            </w:r>
            <w:r/>
          </w:p>
        </w:tc>
        <w:tc>
          <w:tcPr>
            <w:tcW w:w="1386" w:type="dxa"/>
            <w:vAlign w:val="center"/>
            <w:textDirection w:val="lrTb"/>
            <w:noWrap w:val="false"/>
          </w:tcPr>
          <w:p>
            <w:pPr>
              <w:jc w:val="cente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电梯</w:t>
            </w:r>
            <w:r/>
          </w:p>
        </w:tc>
        <w:tc>
          <w:tcPr>
            <w:tcW w:w="4753"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有机房乘客电梯，额定载重800kg，16层16站16门，含井道和机房更新，具体技术要求详见“（二）</w:t>
            </w:r>
            <w:r>
              <w:rPr>
                <w:rFonts w:hint="eastAsia" w:ascii="宋体" w:hAnsi="宋体" w:eastAsia="宋体" w:cs="宋体"/>
                <w:b/>
                <w:color w:val="auto"/>
                <w:sz w:val="24"/>
                <w:szCs w:val="24"/>
              </w:rPr>
              <w:t xml:space="preserve">电梯技术要求</w:t>
            </w:r>
            <w:r>
              <w:rPr>
                <w:rFonts w:hint="eastAsia" w:ascii="宋体" w:hAnsi="宋体" w:eastAsia="宋体" w:cs="宋体"/>
                <w:color w:val="auto"/>
                <w:sz w:val="24"/>
                <w:szCs w:val="24"/>
              </w:rPr>
              <w:t xml:space="preserve">”</w:t>
            </w:r>
            <w:r/>
          </w:p>
        </w:tc>
        <w:tc>
          <w:tcPr>
            <w:tcW w:w="958" w:type="dxa"/>
            <w:vAlign w:val="center"/>
            <w:textDirection w:val="lrTb"/>
            <w:noWrap w:val="false"/>
          </w:tcPr>
          <w:p>
            <w:pPr>
              <w:jc w:val="cente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部</w:t>
            </w:r>
            <w:r/>
          </w:p>
        </w:tc>
        <w:tc>
          <w:tcPr>
            <w:tcW w:w="959" w:type="dxa"/>
            <w:vAlign w:val="center"/>
            <w:textDirection w:val="lrTb"/>
            <w:noWrap w:val="false"/>
          </w:tcPr>
          <w:p>
            <w:pPr>
              <w:jc w:val="cente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18</w:t>
            </w:r>
            <w:r/>
          </w:p>
        </w:tc>
      </w:tr>
      <w:tr>
        <w:trPr>
          <w:jc w:val="center"/>
        </w:trPr>
        <w:tc>
          <w:tcPr>
            <w:tcW w:w="989" w:type="dxa"/>
            <w:vAlign w:val="center"/>
            <w:textDirection w:val="lrTb"/>
            <w:noWrap w:val="false"/>
          </w:tcPr>
          <w:p>
            <w:pPr>
              <w:jc w:val="center"/>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8</w:t>
            </w:r>
            <w:r/>
          </w:p>
        </w:tc>
        <w:tc>
          <w:tcPr>
            <w:tcW w:w="1386" w:type="dxa"/>
            <w:vAlign w:val="center"/>
            <w:textDirection w:val="lrTb"/>
            <w:noWrap w:val="false"/>
          </w:tcPr>
          <w:p>
            <w:pPr>
              <w:jc w:val="cente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电梯</w:t>
            </w:r>
            <w:r/>
          </w:p>
        </w:tc>
        <w:tc>
          <w:tcPr>
            <w:tcW w:w="4753"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有机房乘客电梯，额定载重800kg，17层17站17门，含井道和机房更新，具体技术要求详见“（二）</w:t>
            </w:r>
            <w:r>
              <w:rPr>
                <w:rFonts w:hint="eastAsia" w:ascii="宋体" w:hAnsi="宋体" w:eastAsia="宋体" w:cs="宋体"/>
                <w:b/>
                <w:color w:val="auto"/>
                <w:sz w:val="24"/>
                <w:szCs w:val="24"/>
              </w:rPr>
              <w:t xml:space="preserve">电梯技术要求</w:t>
            </w:r>
            <w:r>
              <w:rPr>
                <w:rFonts w:hint="eastAsia" w:ascii="宋体" w:hAnsi="宋体" w:eastAsia="宋体" w:cs="宋体"/>
                <w:color w:val="auto"/>
                <w:sz w:val="24"/>
                <w:szCs w:val="24"/>
              </w:rPr>
              <w:t xml:space="preserve">”</w:t>
            </w:r>
            <w:r/>
          </w:p>
        </w:tc>
        <w:tc>
          <w:tcPr>
            <w:tcW w:w="958" w:type="dxa"/>
            <w:vAlign w:val="center"/>
            <w:textDirection w:val="lrTb"/>
            <w:noWrap w:val="false"/>
          </w:tcPr>
          <w:p>
            <w:pPr>
              <w:jc w:val="cente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部</w:t>
            </w:r>
            <w:r/>
          </w:p>
        </w:tc>
        <w:tc>
          <w:tcPr>
            <w:tcW w:w="959" w:type="dxa"/>
            <w:vAlign w:val="center"/>
            <w:textDirection w:val="lrTb"/>
            <w:noWrap w:val="false"/>
          </w:tcPr>
          <w:p>
            <w:pPr>
              <w:jc w:val="cente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14</w:t>
            </w:r>
            <w:r/>
          </w:p>
        </w:tc>
      </w:tr>
      <w:tr>
        <w:trPr>
          <w:jc w:val="center"/>
        </w:trPr>
        <w:tc>
          <w:tcPr>
            <w:tcW w:w="989" w:type="dxa"/>
            <w:vAlign w:val="center"/>
            <w:textDirection w:val="lrTb"/>
            <w:noWrap w:val="false"/>
          </w:tcPr>
          <w:p>
            <w:pPr>
              <w:jc w:val="center"/>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9</w:t>
            </w:r>
            <w:r/>
          </w:p>
        </w:tc>
        <w:tc>
          <w:tcPr>
            <w:tcW w:w="1386" w:type="dxa"/>
            <w:vAlign w:val="center"/>
            <w:textDirection w:val="lrTb"/>
            <w:noWrap w:val="false"/>
          </w:tcPr>
          <w:p>
            <w:pPr>
              <w:jc w:val="cente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电梯</w:t>
            </w:r>
            <w:r/>
          </w:p>
        </w:tc>
        <w:tc>
          <w:tcPr>
            <w:tcW w:w="4753"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有机房乘客电梯，额定载重800kg，18层18站18门，含井道和机房更新，具体技术要求详见“（二）</w:t>
            </w:r>
            <w:r>
              <w:rPr>
                <w:rFonts w:hint="eastAsia" w:ascii="宋体" w:hAnsi="宋体" w:eastAsia="宋体" w:cs="宋体"/>
                <w:b/>
                <w:color w:val="auto"/>
                <w:sz w:val="24"/>
                <w:szCs w:val="24"/>
              </w:rPr>
              <w:t xml:space="preserve">电梯技术要求</w:t>
            </w:r>
            <w:r>
              <w:rPr>
                <w:rFonts w:hint="eastAsia" w:ascii="宋体" w:hAnsi="宋体" w:eastAsia="宋体" w:cs="宋体"/>
                <w:color w:val="auto"/>
                <w:sz w:val="24"/>
                <w:szCs w:val="24"/>
              </w:rPr>
              <w:t xml:space="preserve">”</w:t>
            </w:r>
            <w:r/>
          </w:p>
        </w:tc>
        <w:tc>
          <w:tcPr>
            <w:tcW w:w="958" w:type="dxa"/>
            <w:vAlign w:val="center"/>
            <w:textDirection w:val="lrTb"/>
            <w:noWrap w:val="false"/>
          </w:tcPr>
          <w:p>
            <w:pPr>
              <w:jc w:val="cente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部</w:t>
            </w:r>
            <w:r/>
          </w:p>
        </w:tc>
        <w:tc>
          <w:tcPr>
            <w:tcW w:w="959" w:type="dxa"/>
            <w:vAlign w:val="center"/>
            <w:textDirection w:val="lrTb"/>
            <w:noWrap w:val="false"/>
          </w:tcPr>
          <w:p>
            <w:pPr>
              <w:jc w:val="cente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w:t>
            </w:r>
            <w:r/>
          </w:p>
        </w:tc>
      </w:tr>
      <w:tr>
        <w:trPr>
          <w:jc w:val="center"/>
        </w:trPr>
        <w:tc>
          <w:tcPr>
            <w:tcW w:w="989" w:type="dxa"/>
            <w:vAlign w:val="center"/>
            <w:textDirection w:val="lrTb"/>
            <w:noWrap w:val="false"/>
          </w:tcPr>
          <w:p>
            <w:pPr>
              <w:jc w:val="center"/>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10</w:t>
            </w:r>
            <w:r/>
          </w:p>
        </w:tc>
        <w:tc>
          <w:tcPr>
            <w:tcW w:w="1386" w:type="dxa"/>
            <w:vAlign w:val="center"/>
            <w:textDirection w:val="lrTb"/>
            <w:noWrap w:val="false"/>
          </w:tcPr>
          <w:p>
            <w:pPr>
              <w:jc w:val="cente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电梯</w:t>
            </w:r>
            <w:r/>
          </w:p>
        </w:tc>
        <w:tc>
          <w:tcPr>
            <w:tcW w:w="4753"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有机房乘客电梯，额定载重1000kg，6层6站6门，含井道和机房更新，具体技术要求详见“（二）</w:t>
            </w:r>
            <w:r>
              <w:rPr>
                <w:rFonts w:hint="eastAsia" w:ascii="宋体" w:hAnsi="宋体" w:eastAsia="宋体" w:cs="宋体"/>
                <w:b/>
                <w:color w:val="auto"/>
                <w:sz w:val="24"/>
                <w:szCs w:val="24"/>
              </w:rPr>
              <w:t xml:space="preserve">电梯技术要求</w:t>
            </w:r>
            <w:r>
              <w:rPr>
                <w:rFonts w:hint="eastAsia" w:ascii="宋体" w:hAnsi="宋体" w:eastAsia="宋体" w:cs="宋体"/>
                <w:color w:val="auto"/>
                <w:sz w:val="24"/>
                <w:szCs w:val="24"/>
              </w:rPr>
              <w:t xml:space="preserve">”</w:t>
            </w:r>
            <w:r/>
          </w:p>
        </w:tc>
        <w:tc>
          <w:tcPr>
            <w:tcW w:w="958" w:type="dxa"/>
            <w:vAlign w:val="center"/>
            <w:textDirection w:val="lrTb"/>
            <w:noWrap w:val="false"/>
          </w:tcPr>
          <w:p>
            <w:pPr>
              <w:jc w:val="cente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部</w:t>
            </w:r>
            <w:r/>
          </w:p>
        </w:tc>
        <w:tc>
          <w:tcPr>
            <w:tcW w:w="959" w:type="dxa"/>
            <w:vAlign w:val="center"/>
            <w:textDirection w:val="lrTb"/>
            <w:noWrap w:val="false"/>
          </w:tcPr>
          <w:p>
            <w:pPr>
              <w:jc w:val="cente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w:t>
            </w:r>
            <w:r/>
          </w:p>
        </w:tc>
      </w:tr>
      <w:tr>
        <w:trPr>
          <w:jc w:val="center"/>
        </w:trPr>
        <w:tc>
          <w:tcPr>
            <w:tcW w:w="989" w:type="dxa"/>
            <w:vAlign w:val="center"/>
            <w:textDirection w:val="lrTb"/>
            <w:noWrap w:val="false"/>
          </w:tcPr>
          <w:p>
            <w:pPr>
              <w:jc w:val="center"/>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11</w:t>
            </w:r>
            <w:r/>
          </w:p>
        </w:tc>
        <w:tc>
          <w:tcPr>
            <w:tcW w:w="1386" w:type="dxa"/>
            <w:vAlign w:val="center"/>
            <w:textDirection w:val="lrTb"/>
            <w:noWrap w:val="false"/>
          </w:tcPr>
          <w:p>
            <w:pPr>
              <w:jc w:val="cente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电梯</w:t>
            </w:r>
            <w:r/>
          </w:p>
        </w:tc>
        <w:tc>
          <w:tcPr>
            <w:tcW w:w="4753"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有机房乘客电梯，额定载重1000kg，10层10站10门，含井道和机房更新，具体技术要求详见“（二）</w:t>
            </w:r>
            <w:r>
              <w:rPr>
                <w:rFonts w:hint="eastAsia" w:ascii="宋体" w:hAnsi="宋体" w:eastAsia="宋体" w:cs="宋体"/>
                <w:b/>
                <w:color w:val="auto"/>
                <w:sz w:val="24"/>
                <w:szCs w:val="24"/>
              </w:rPr>
              <w:t xml:space="preserve">电梯技术要求</w:t>
            </w:r>
            <w:r>
              <w:rPr>
                <w:rFonts w:hint="eastAsia" w:ascii="宋体" w:hAnsi="宋体" w:eastAsia="宋体" w:cs="宋体"/>
                <w:color w:val="auto"/>
                <w:sz w:val="24"/>
                <w:szCs w:val="24"/>
              </w:rPr>
              <w:t xml:space="preserve">”</w:t>
            </w:r>
            <w:r/>
          </w:p>
        </w:tc>
        <w:tc>
          <w:tcPr>
            <w:tcW w:w="958" w:type="dxa"/>
            <w:vAlign w:val="center"/>
            <w:textDirection w:val="lrTb"/>
            <w:noWrap w:val="false"/>
          </w:tcPr>
          <w:p>
            <w:pPr>
              <w:jc w:val="cente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部</w:t>
            </w:r>
            <w:r/>
          </w:p>
        </w:tc>
        <w:tc>
          <w:tcPr>
            <w:tcW w:w="959" w:type="dxa"/>
            <w:vAlign w:val="center"/>
            <w:textDirection w:val="lrTb"/>
            <w:noWrap w:val="false"/>
          </w:tcPr>
          <w:p>
            <w:pPr>
              <w:jc w:val="cente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3</w:t>
            </w:r>
            <w:r/>
          </w:p>
        </w:tc>
      </w:tr>
      <w:tr>
        <w:trPr>
          <w:jc w:val="center"/>
        </w:trPr>
        <w:tc>
          <w:tcPr>
            <w:tcW w:w="989" w:type="dxa"/>
            <w:vAlign w:val="center"/>
            <w:textDirection w:val="lrTb"/>
            <w:noWrap w:val="false"/>
          </w:tcPr>
          <w:p>
            <w:pPr>
              <w:jc w:val="center"/>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12</w:t>
            </w:r>
            <w:r/>
          </w:p>
        </w:tc>
        <w:tc>
          <w:tcPr>
            <w:tcW w:w="1386" w:type="dxa"/>
            <w:vAlign w:val="center"/>
            <w:textDirection w:val="lrTb"/>
            <w:noWrap w:val="false"/>
          </w:tcPr>
          <w:p>
            <w:pPr>
              <w:jc w:val="cente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电梯</w:t>
            </w:r>
            <w:r/>
          </w:p>
        </w:tc>
        <w:tc>
          <w:tcPr>
            <w:tcW w:w="4753"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有机房乘客电梯，额定载重1000kg，11层11站11门，含井道和机房更新，具体技术要求详见“（二）</w:t>
            </w:r>
            <w:r>
              <w:rPr>
                <w:rFonts w:hint="eastAsia" w:ascii="宋体" w:hAnsi="宋体" w:eastAsia="宋体" w:cs="宋体"/>
                <w:b/>
                <w:color w:val="auto"/>
                <w:sz w:val="24"/>
                <w:szCs w:val="24"/>
              </w:rPr>
              <w:t xml:space="preserve">电梯技术要求</w:t>
            </w:r>
            <w:r>
              <w:rPr>
                <w:rFonts w:hint="eastAsia" w:ascii="宋体" w:hAnsi="宋体" w:eastAsia="宋体" w:cs="宋体"/>
                <w:color w:val="auto"/>
                <w:sz w:val="24"/>
                <w:szCs w:val="24"/>
              </w:rPr>
              <w:t xml:space="preserve">”</w:t>
            </w:r>
            <w:r/>
          </w:p>
        </w:tc>
        <w:tc>
          <w:tcPr>
            <w:tcW w:w="958" w:type="dxa"/>
            <w:vAlign w:val="center"/>
            <w:textDirection w:val="lrTb"/>
            <w:noWrap w:val="false"/>
          </w:tcPr>
          <w:p>
            <w:pPr>
              <w:jc w:val="cente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部</w:t>
            </w:r>
            <w:r/>
          </w:p>
        </w:tc>
        <w:tc>
          <w:tcPr>
            <w:tcW w:w="959" w:type="dxa"/>
            <w:vAlign w:val="center"/>
            <w:textDirection w:val="lrTb"/>
            <w:noWrap w:val="false"/>
          </w:tcPr>
          <w:p>
            <w:pPr>
              <w:jc w:val="cente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w:t>
            </w:r>
            <w:r/>
          </w:p>
        </w:tc>
      </w:tr>
      <w:tr>
        <w:trPr>
          <w:jc w:val="center"/>
        </w:trPr>
        <w:tc>
          <w:tcPr>
            <w:tcW w:w="989" w:type="dxa"/>
            <w:vAlign w:val="center"/>
            <w:textDirection w:val="lrTb"/>
            <w:noWrap w:val="false"/>
          </w:tcPr>
          <w:p>
            <w:pPr>
              <w:jc w:val="center"/>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13</w:t>
            </w:r>
            <w:r/>
          </w:p>
        </w:tc>
        <w:tc>
          <w:tcPr>
            <w:tcW w:w="1386" w:type="dxa"/>
            <w:vAlign w:val="center"/>
            <w:textDirection w:val="lrTb"/>
            <w:noWrap w:val="false"/>
          </w:tcPr>
          <w:p>
            <w:pPr>
              <w:jc w:val="cente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电梯</w:t>
            </w:r>
            <w:r/>
          </w:p>
        </w:tc>
        <w:tc>
          <w:tcPr>
            <w:tcW w:w="4753"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有机房乘客电梯，额定载重1000kg，12层12站12门，含井道和机房更新，具体技术要求详见“（二）</w:t>
            </w:r>
            <w:r>
              <w:rPr>
                <w:rFonts w:hint="eastAsia" w:ascii="宋体" w:hAnsi="宋体" w:eastAsia="宋体" w:cs="宋体"/>
                <w:b/>
                <w:color w:val="auto"/>
                <w:sz w:val="24"/>
                <w:szCs w:val="24"/>
              </w:rPr>
              <w:t xml:space="preserve">电梯技术要求</w:t>
            </w:r>
            <w:r>
              <w:rPr>
                <w:rFonts w:hint="eastAsia" w:ascii="宋体" w:hAnsi="宋体" w:eastAsia="宋体" w:cs="宋体"/>
                <w:color w:val="auto"/>
                <w:sz w:val="24"/>
                <w:szCs w:val="24"/>
              </w:rPr>
              <w:t xml:space="preserve">”</w:t>
            </w:r>
            <w:r/>
          </w:p>
        </w:tc>
        <w:tc>
          <w:tcPr>
            <w:tcW w:w="958" w:type="dxa"/>
            <w:vAlign w:val="center"/>
            <w:textDirection w:val="lrTb"/>
            <w:noWrap w:val="false"/>
          </w:tcPr>
          <w:p>
            <w:pPr>
              <w:jc w:val="cente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部</w:t>
            </w:r>
            <w:r/>
          </w:p>
        </w:tc>
        <w:tc>
          <w:tcPr>
            <w:tcW w:w="959" w:type="dxa"/>
            <w:vAlign w:val="center"/>
            <w:textDirection w:val="lrTb"/>
            <w:noWrap w:val="false"/>
          </w:tcPr>
          <w:p>
            <w:pPr>
              <w:jc w:val="cente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w:t>
            </w:r>
            <w:r/>
          </w:p>
        </w:tc>
      </w:tr>
      <w:tr>
        <w:trPr>
          <w:jc w:val="center"/>
        </w:trPr>
        <w:tc>
          <w:tcPr>
            <w:tcW w:w="989" w:type="dxa"/>
            <w:vAlign w:val="center"/>
            <w:textDirection w:val="lrTb"/>
            <w:noWrap w:val="false"/>
          </w:tcPr>
          <w:p>
            <w:pPr>
              <w:jc w:val="center"/>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14</w:t>
            </w:r>
            <w:r/>
          </w:p>
        </w:tc>
        <w:tc>
          <w:tcPr>
            <w:tcW w:w="1386" w:type="dxa"/>
            <w:vAlign w:val="center"/>
            <w:textDirection w:val="lrTb"/>
            <w:noWrap w:val="false"/>
          </w:tcPr>
          <w:p>
            <w:pPr>
              <w:jc w:val="cente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电梯</w:t>
            </w:r>
            <w:r/>
          </w:p>
        </w:tc>
        <w:tc>
          <w:tcPr>
            <w:tcW w:w="4753" w:type="dxa"/>
            <w:vAlign w:val="center"/>
            <w:textDirection w:val="lrTb"/>
            <w:noWrap w:val="false"/>
          </w:tcPr>
          <w:p>
            <w:pPr>
              <w:jc w:val="center"/>
              <w:spacing w:line="400" w:lineRule="exact"/>
              <w:rPr>
                <w:rFonts w:hint="eastAsia" w:ascii="宋体" w:hAnsi="宋体" w:eastAsia="宋体" w:cs="宋体"/>
                <w:color w:val="auto"/>
                <w:sz w:val="24"/>
                <w:szCs w:val="24"/>
              </w:rPr>
            </w:pPr>
            <w:r/>
            <w:bookmarkStart w:id="129" w:name="OLE_LINK2"/>
            <w:r>
              <w:rPr>
                <w:rFonts w:hint="eastAsia" w:ascii="宋体" w:hAnsi="宋体" w:eastAsia="宋体" w:cs="宋体"/>
                <w:color w:val="auto"/>
                <w:sz w:val="24"/>
                <w:szCs w:val="24"/>
              </w:rPr>
              <w:t xml:space="preserve">有机房乘客电梯，额定载重1000kg，16层16站16门，含井道和机房更新，具体技术要求详见“（二）</w:t>
            </w:r>
            <w:r>
              <w:rPr>
                <w:rFonts w:hint="eastAsia" w:ascii="宋体" w:hAnsi="宋体" w:eastAsia="宋体" w:cs="宋体"/>
                <w:b/>
                <w:color w:val="auto"/>
                <w:sz w:val="24"/>
                <w:szCs w:val="24"/>
              </w:rPr>
              <w:t xml:space="preserve">电梯技术要求</w:t>
            </w:r>
            <w:r>
              <w:rPr>
                <w:rFonts w:hint="eastAsia" w:ascii="宋体" w:hAnsi="宋体" w:eastAsia="宋体" w:cs="宋体"/>
                <w:color w:val="auto"/>
                <w:sz w:val="24"/>
                <w:szCs w:val="24"/>
              </w:rPr>
              <w:t xml:space="preserve">”</w:t>
            </w:r>
            <w:bookmarkEnd w:id="129"/>
            <w:r/>
            <w:r/>
          </w:p>
        </w:tc>
        <w:tc>
          <w:tcPr>
            <w:tcW w:w="958" w:type="dxa"/>
            <w:vAlign w:val="center"/>
            <w:textDirection w:val="lrTb"/>
            <w:noWrap w:val="false"/>
          </w:tcPr>
          <w:p>
            <w:pPr>
              <w:jc w:val="cente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部</w:t>
            </w:r>
            <w:r/>
          </w:p>
        </w:tc>
        <w:tc>
          <w:tcPr>
            <w:tcW w:w="959" w:type="dxa"/>
            <w:vAlign w:val="center"/>
            <w:textDirection w:val="lrTb"/>
            <w:noWrap w:val="false"/>
          </w:tcPr>
          <w:p>
            <w:pPr>
              <w:jc w:val="cente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4</w:t>
            </w:r>
            <w:r/>
          </w:p>
        </w:tc>
      </w:tr>
      <w:tr>
        <w:trPr>
          <w:jc w:val="center"/>
        </w:trPr>
        <w:tc>
          <w:tcPr>
            <w:tcW w:w="989" w:type="dxa"/>
            <w:vAlign w:val="center"/>
            <w:textDirection w:val="lrTb"/>
            <w:noWrap w:val="false"/>
          </w:tcPr>
          <w:p>
            <w:pPr>
              <w:jc w:val="center"/>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15</w:t>
            </w:r>
            <w:r/>
          </w:p>
        </w:tc>
        <w:tc>
          <w:tcPr>
            <w:tcW w:w="1386" w:type="dxa"/>
            <w:vAlign w:val="center"/>
            <w:textDirection w:val="lrTb"/>
            <w:noWrap w:val="false"/>
          </w:tcPr>
          <w:p>
            <w:pPr>
              <w:jc w:val="cente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电梯</w:t>
            </w:r>
            <w:r/>
          </w:p>
        </w:tc>
        <w:tc>
          <w:tcPr>
            <w:tcW w:w="4753"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有机房乘客电梯，额定载重</w:t>
            </w:r>
            <w:r>
              <w:rPr>
                <w:rFonts w:hint="eastAsia" w:ascii="宋体" w:hAnsi="宋体" w:eastAsia="宋体" w:cs="宋体"/>
                <w:color w:val="auto"/>
                <w:sz w:val="24"/>
                <w:szCs w:val="24"/>
                <w:lang w:val="en-US" w:eastAsia="zh-CN"/>
              </w:rPr>
              <w:t xml:space="preserve">1000</w:t>
            </w:r>
            <w:r>
              <w:rPr>
                <w:rFonts w:hint="eastAsia" w:ascii="宋体" w:hAnsi="宋体" w:eastAsia="宋体" w:cs="宋体"/>
                <w:color w:val="auto"/>
                <w:sz w:val="24"/>
                <w:szCs w:val="24"/>
              </w:rPr>
              <w:t xml:space="preserve">kg，8层8站8门，含井道和机房更新，具体技术要求详见“（二）</w:t>
            </w:r>
            <w:r>
              <w:rPr>
                <w:rFonts w:hint="eastAsia" w:ascii="宋体" w:hAnsi="宋体" w:eastAsia="宋体" w:cs="宋体"/>
                <w:b/>
                <w:color w:val="auto"/>
                <w:sz w:val="24"/>
                <w:szCs w:val="24"/>
              </w:rPr>
              <w:t xml:space="preserve">电梯技术要求</w:t>
            </w:r>
            <w:r>
              <w:rPr>
                <w:rFonts w:hint="eastAsia" w:ascii="宋体" w:hAnsi="宋体" w:eastAsia="宋体" w:cs="宋体"/>
                <w:color w:val="auto"/>
                <w:sz w:val="24"/>
                <w:szCs w:val="24"/>
              </w:rPr>
              <w:t xml:space="preserve">”</w:t>
            </w:r>
            <w:r/>
          </w:p>
        </w:tc>
        <w:tc>
          <w:tcPr>
            <w:tcW w:w="958" w:type="dxa"/>
            <w:vAlign w:val="center"/>
            <w:textDirection w:val="lrTb"/>
            <w:noWrap w:val="false"/>
          </w:tcPr>
          <w:p>
            <w:pPr>
              <w:jc w:val="cente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部</w:t>
            </w:r>
            <w:r/>
          </w:p>
        </w:tc>
        <w:tc>
          <w:tcPr>
            <w:tcW w:w="959" w:type="dxa"/>
            <w:vAlign w:val="center"/>
            <w:textDirection w:val="lrTb"/>
            <w:noWrap w:val="false"/>
          </w:tcPr>
          <w:p>
            <w:pPr>
              <w:jc w:val="cente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w:t>
            </w:r>
            <w:r/>
          </w:p>
        </w:tc>
      </w:tr>
      <w:tr>
        <w:trPr>
          <w:jc w:val="center"/>
        </w:trPr>
        <w:tc>
          <w:tcPr>
            <w:gridSpan w:val="3"/>
            <w:tcW w:w="7128" w:type="dxa"/>
            <w:vAlign w:val="center"/>
            <w:textDirection w:val="lrTb"/>
            <w:noWrap w:val="false"/>
          </w:tcPr>
          <w:p>
            <w:pPr>
              <w:jc w:val="center"/>
              <w:spacing w:line="400" w:lineRule="exact"/>
              <w:rPr>
                <w:rFonts w:hint="eastAsia" w:ascii="宋体" w:hAnsi="宋体" w:eastAsia="宋体" w:cs="宋体"/>
                <w:sz w:val="24"/>
                <w:szCs w:val="24"/>
                <w:lang w:val="en-US" w:eastAsia="zh-CN"/>
              </w:rPr>
            </w:pPr>
            <w:r>
              <w:rPr>
                <w:rFonts w:hint="eastAsia" w:ascii="宋体" w:hAnsi="宋体" w:eastAsia="宋体" w:cs="宋体"/>
                <w:b/>
                <w:bCs/>
                <w:color w:val="auto"/>
                <w:sz w:val="24"/>
                <w:szCs w:val="24"/>
                <w:lang w:val="en-US" w:eastAsia="zh-CN"/>
              </w:rPr>
              <w:t xml:space="preserve">合</w:t>
            </w:r>
            <w:r>
              <w:rPr>
                <w:rFonts w:hint="eastAsia" w:ascii="宋体" w:hAnsi="宋体" w:cs="宋体"/>
                <w:b/>
                <w:bCs/>
                <w:color w:val="auto"/>
                <w:sz w:val="24"/>
                <w:szCs w:val="24"/>
                <w:lang w:val="en-US" w:eastAsia="zh-CN"/>
              </w:rPr>
              <w:t xml:space="preserve">    </w:t>
            </w:r>
            <w:r>
              <w:rPr>
                <w:rFonts w:hint="eastAsia" w:ascii="宋体" w:hAnsi="宋体" w:eastAsia="宋体" w:cs="宋体"/>
                <w:b/>
                <w:bCs/>
                <w:color w:val="auto"/>
                <w:sz w:val="24"/>
                <w:szCs w:val="24"/>
                <w:lang w:val="en-US" w:eastAsia="zh-CN"/>
              </w:rPr>
              <w:t xml:space="preserve">计</w:t>
            </w:r>
            <w:r/>
          </w:p>
        </w:tc>
        <w:tc>
          <w:tcPr>
            <w:tcW w:w="958" w:type="dxa"/>
            <w:vAlign w:val="center"/>
            <w:textDirection w:val="lrTb"/>
            <w:noWrap w:val="false"/>
          </w:tcPr>
          <w:p>
            <w:pPr>
              <w:jc w:val="center"/>
              <w:spacing w:line="40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部</w:t>
            </w:r>
            <w:r/>
          </w:p>
        </w:tc>
        <w:tc>
          <w:tcPr>
            <w:tcW w:w="959" w:type="dxa"/>
            <w:vAlign w:val="center"/>
            <w:textDirection w:val="lrTb"/>
            <w:noWrap w:val="false"/>
          </w:tcPr>
          <w:p>
            <w:pPr>
              <w:jc w:val="center"/>
              <w:spacing w:line="40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112</w:t>
            </w:r>
            <w:r/>
          </w:p>
        </w:tc>
      </w:tr>
    </w:tbl>
    <w:p>
      <w:pPr>
        <w:ind w:firstLine="482"/>
        <w:spacing w:line="400" w:lineRule="exact"/>
        <w:rPr>
          <w:rFonts w:hint="eastAsia" w:ascii="宋体" w:hAnsi="宋体" w:eastAsia="宋体" w:cs="宋体"/>
          <w:b/>
          <w:color w:val="auto"/>
          <w:sz w:val="24"/>
          <w:szCs w:val="24"/>
        </w:rPr>
      </w:pPr>
      <w:r>
        <w:rPr>
          <w:rFonts w:hint="eastAsia" w:ascii="宋体" w:hAnsi="宋体" w:eastAsia="宋体" w:cs="宋体"/>
          <w:b/>
          <w:sz w:val="24"/>
          <w:szCs w:val="24"/>
        </w:rPr>
        <w:t xml:space="preserve">注：</w:t>
      </w:r>
      <w:r>
        <w:rPr>
          <w:rFonts w:hint="eastAsia" w:ascii="宋体" w:hAnsi="宋体" w:eastAsia="宋体" w:cs="宋体"/>
          <w:b/>
          <w:color w:val="auto"/>
          <w:sz w:val="24"/>
          <w:szCs w:val="24"/>
          <w:lang w:val="en-US" w:eastAsia="zh-CN"/>
        </w:rPr>
        <w:t xml:space="preserve">1</w:t>
      </w:r>
      <w:r>
        <w:rPr>
          <w:rFonts w:hint="eastAsia" w:ascii="宋体" w:hAnsi="宋体" w:eastAsia="宋体" w:cs="宋体"/>
          <w:b/>
          <w:color w:val="auto"/>
          <w:sz w:val="24"/>
          <w:szCs w:val="24"/>
        </w:rPr>
        <w:t xml:space="preserve">、本项目拆卸下来电梯</w:t>
      </w:r>
      <w:r>
        <w:rPr>
          <w:rFonts w:hint="eastAsia" w:ascii="宋体" w:hAnsi="宋体" w:eastAsia="宋体" w:cs="宋体"/>
          <w:b/>
          <w:color w:val="auto"/>
          <w:sz w:val="24"/>
          <w:szCs w:val="24"/>
          <w:lang w:val="en-US" w:eastAsia="zh-CN"/>
        </w:rPr>
        <w:t xml:space="preserve">由</w:t>
      </w:r>
      <w:r>
        <w:rPr>
          <w:rFonts w:hint="eastAsia" w:ascii="宋体" w:hAnsi="宋体" w:eastAsia="宋体" w:cs="宋体"/>
          <w:b/>
          <w:color w:val="auto"/>
          <w:sz w:val="24"/>
          <w:szCs w:val="24"/>
        </w:rPr>
        <w:t xml:space="preserve">投标单位自行回收包含在总价里。</w:t>
      </w:r>
      <w:r/>
    </w:p>
    <w:p>
      <w:pPr>
        <w:ind w:firstLine="482"/>
        <w:spacing w:line="400" w:lineRule="exact"/>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 xml:space="preserve">2</w:t>
      </w:r>
      <w:r>
        <w:rPr>
          <w:rFonts w:hint="eastAsia" w:ascii="宋体" w:hAnsi="宋体" w:eastAsia="宋体" w:cs="宋体"/>
          <w:b/>
          <w:color w:val="auto"/>
          <w:sz w:val="24"/>
          <w:szCs w:val="24"/>
        </w:rPr>
        <w:t xml:space="preserve">、本项目为超长期特别国债资金支持的更新电梯项目，如所投电梯单价低于15万元的</w:t>
      </w:r>
      <w:r>
        <w:rPr>
          <w:rFonts w:hint="eastAsia" w:ascii="宋体" w:hAnsi="宋体" w:eastAsia="宋体" w:cs="宋体"/>
          <w:b/>
          <w:color w:val="auto"/>
          <w:sz w:val="24"/>
          <w:szCs w:val="24"/>
          <w:lang w:val="en-US" w:eastAsia="zh-CN"/>
        </w:rPr>
        <w:t xml:space="preserve">可能</w:t>
      </w:r>
      <w:r>
        <w:rPr>
          <w:rFonts w:hint="eastAsia" w:ascii="宋体" w:hAnsi="宋体" w:eastAsia="宋体" w:cs="宋体"/>
          <w:b/>
          <w:color w:val="auto"/>
          <w:sz w:val="24"/>
          <w:szCs w:val="24"/>
        </w:rPr>
        <w:t xml:space="preserve">不享受国家补贴，请投标人自行考虑，因报价导致后期付款出现问题等原因由投标人自行承担。如所投电梯单价超过15万元，超出部分由电梯使用业主自筹解决，请投标人自行考虑报价。</w:t>
      </w:r>
      <w:r/>
    </w:p>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lang w:val="en-US" w:eastAsia="zh-CN"/>
        </w:rPr>
        <w:t xml:space="preserve">3、</w:t>
      </w:r>
      <w:r>
        <w:rPr>
          <w:rFonts w:hint="eastAsia" w:ascii="宋体" w:hAnsi="宋体" w:eastAsia="宋体" w:cs="宋体"/>
          <w:b/>
          <w:sz w:val="24"/>
          <w:szCs w:val="24"/>
        </w:rPr>
        <w:t xml:space="preserve">本项目为纳入超长期特别国债资金支持的更新电梯，所投电梯技术要求应满足《市场监管总局办公厅关于进一步做好住宅老旧电梯更新有关工作的通知（附件1：纳入超长期特别国债资金支持的更新电梯专项要求）》，具体要求如下：</w:t>
      </w:r>
      <w:r/>
    </w:p>
    <w:p>
      <w:pPr>
        <w:ind w:firstLine="482"/>
        <w:spacing w:line="400" w:lineRule="exact"/>
        <w:rPr>
          <w:rFonts w:hint="eastAsia" w:ascii="宋体" w:hAnsi="宋体" w:eastAsia="宋体" w:cs="宋体"/>
          <w:b/>
          <w:color w:val="auto"/>
          <w:sz w:val="24"/>
          <w:szCs w:val="24"/>
        </w:rPr>
      </w:pPr>
      <w:r>
        <w:rPr>
          <w:rFonts w:hint="eastAsia" w:ascii="宋体" w:hAnsi="宋体" w:cs="宋体"/>
          <w:color w:val="auto"/>
          <w:sz w:val="24"/>
          <w:szCs w:val="24"/>
          <w:highlight w:val="none"/>
          <w:lang w:eastAsia="zh-CN"/>
        </w:rPr>
        <w:t xml:space="preserve">★</w:t>
      </w:r>
      <w:r>
        <w:rPr>
          <w:rFonts w:hint="eastAsia" w:ascii="宋体" w:hAnsi="宋体" w:eastAsia="宋体" w:cs="宋体"/>
          <w:b/>
          <w:color w:val="auto"/>
          <w:sz w:val="24"/>
          <w:szCs w:val="24"/>
        </w:rPr>
        <w:t xml:space="preserve">1.1.1 层门、轿门和轿厢：</w:t>
      </w:r>
      <w:r/>
    </w:p>
    <w:p>
      <w:pPr>
        <w:ind w:firstLine="482"/>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1）层门和轿门的地坎、轿厢护脚板应当采用金属材料；（2）更新的金属层门、轿门和轿壁的面板材料至少由一层公称厚度不小于1.5mm的单一金属板材构成；保留的金属层门，其金属材质面板公称厚度不小于1.2mm；保留层门的下部保持装置啮合深度不小于15mm。</w:t>
      </w:r>
      <w:r/>
    </w:p>
    <w:p>
      <w:pPr>
        <w:ind w:firstLine="482"/>
        <w:spacing w:line="400" w:lineRule="exact"/>
        <w:rPr>
          <w:rFonts w:hint="eastAsia" w:ascii="宋体" w:hAnsi="宋体" w:eastAsia="宋体" w:cs="宋体"/>
          <w:b/>
          <w:color w:val="auto"/>
          <w:sz w:val="24"/>
          <w:szCs w:val="24"/>
        </w:rPr>
      </w:pPr>
      <w:r>
        <w:rPr>
          <w:rFonts w:hint="eastAsia" w:ascii="宋体" w:hAnsi="宋体" w:cs="宋体"/>
          <w:color w:val="auto"/>
          <w:sz w:val="24"/>
          <w:szCs w:val="24"/>
          <w:highlight w:val="none"/>
          <w:lang w:eastAsia="zh-CN"/>
        </w:rPr>
        <w:t xml:space="preserve">★</w:t>
      </w:r>
      <w:r>
        <w:rPr>
          <w:rFonts w:hint="eastAsia" w:ascii="宋体" w:hAnsi="宋体" w:eastAsia="宋体" w:cs="宋体"/>
          <w:b/>
          <w:color w:val="auto"/>
          <w:sz w:val="24"/>
          <w:szCs w:val="24"/>
        </w:rPr>
        <w:t xml:space="preserve">1.1.2.导轨</w:t>
      </w:r>
      <w:r/>
    </w:p>
    <w:p>
      <w:pPr>
        <w:ind w:firstLine="482"/>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配置安全钳的更新导轨及其连接板应当符合GB/T22562（含表2至表10）的要求，其中对于额定载重量大于630kg的电梯，其轿厢侧导轨宽度b1应当不小于89mm。</w:t>
      </w:r>
      <w:r/>
    </w:p>
    <w:p>
      <w:pPr>
        <w:ind w:firstLine="482"/>
        <w:spacing w:line="400" w:lineRule="exact"/>
        <w:rPr>
          <w:rFonts w:hint="eastAsia" w:ascii="宋体" w:hAnsi="宋体" w:eastAsia="宋体" w:cs="宋体"/>
          <w:b/>
          <w:color w:val="auto"/>
          <w:sz w:val="24"/>
          <w:szCs w:val="24"/>
        </w:rPr>
      </w:pPr>
      <w:r>
        <w:rPr>
          <w:rFonts w:hint="eastAsia" w:ascii="宋体" w:hAnsi="宋体" w:cs="宋体"/>
          <w:color w:val="auto"/>
          <w:sz w:val="24"/>
          <w:szCs w:val="24"/>
          <w:highlight w:val="none"/>
          <w:lang w:eastAsia="zh-CN"/>
        </w:rPr>
        <w:t xml:space="preserve">★</w:t>
      </w:r>
      <w:r>
        <w:rPr>
          <w:rFonts w:hint="eastAsia" w:ascii="宋体" w:hAnsi="宋体" w:eastAsia="宋体" w:cs="宋体"/>
          <w:b/>
          <w:color w:val="auto"/>
          <w:sz w:val="24"/>
          <w:szCs w:val="24"/>
        </w:rPr>
        <w:t xml:space="preserve">1.1.3.悬挂系统</w:t>
      </w:r>
      <w:r/>
    </w:p>
    <w:p>
      <w:pPr>
        <w:ind w:firstLine="482"/>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（1）在正常使用条件下，悬挂钢丝绳使用年限不少于10年或者对应电梯驱动主机启动次数不少于200万次；包覆带使用年限不少于20年或者对应电梯驱动主机启动次数不少于400万次。</w:t>
      </w:r>
      <w:r/>
    </w:p>
    <w:p>
      <w:pPr>
        <w:ind w:firstLine="482"/>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（2）采用包覆带作为悬挂装置的，应当在控制柜内永久性张贴包括防止水、砂尘和润滑油等介质影响包覆带曳引能力的日常检查和维护保养要求的标识。</w:t>
      </w:r>
      <w:r/>
    </w:p>
    <w:p>
      <w:pPr>
        <w:ind w:firstLine="482"/>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（3）对于采用非1：1悬挂比的电梯，当悬挂装置通过反绳轮与轿厢或者对重连接时，反绳轮及其固定部分应当设置防止轿厢或者对重与悬挂装置脱离或者反绳轮坠落的防护装置（需在相应位置设置指示标志）。</w:t>
      </w:r>
      <w:r/>
    </w:p>
    <w:p>
      <w:pPr>
        <w:ind w:firstLine="482"/>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（4）反绳轮应当采用金属材质。</w:t>
      </w:r>
      <w:r/>
    </w:p>
    <w:p>
      <w:pPr>
        <w:ind w:firstLine="482"/>
        <w:spacing w:line="400" w:lineRule="exact"/>
        <w:rPr>
          <w:rFonts w:hint="eastAsia" w:ascii="宋体" w:hAnsi="宋体" w:eastAsia="宋体" w:cs="宋体"/>
          <w:b/>
          <w:color w:val="auto"/>
          <w:sz w:val="24"/>
          <w:szCs w:val="24"/>
        </w:rPr>
      </w:pPr>
      <w:r>
        <w:rPr>
          <w:rFonts w:hint="eastAsia" w:ascii="宋体" w:hAnsi="宋体" w:cs="宋体"/>
          <w:color w:val="auto"/>
          <w:sz w:val="24"/>
          <w:szCs w:val="24"/>
          <w:highlight w:val="none"/>
          <w:lang w:eastAsia="zh-CN"/>
        </w:rPr>
        <w:t xml:space="preserve">★</w:t>
      </w:r>
      <w:r>
        <w:rPr>
          <w:rFonts w:hint="eastAsia" w:ascii="宋体" w:hAnsi="宋体" w:eastAsia="宋体" w:cs="宋体"/>
          <w:b/>
          <w:color w:val="auto"/>
          <w:sz w:val="24"/>
          <w:szCs w:val="24"/>
        </w:rPr>
        <w:t xml:space="preserve">1.1.4.对重块和轿厢配重：对重块和轿厢配重不得使用非金属材质。</w:t>
      </w:r>
      <w:r/>
    </w:p>
    <w:p>
      <w:pPr>
        <w:ind w:firstLine="482"/>
        <w:spacing w:line="400" w:lineRule="exact"/>
        <w:rPr>
          <w:rFonts w:hint="eastAsia" w:ascii="宋体" w:hAnsi="宋体" w:eastAsia="宋体" w:cs="宋体"/>
          <w:b/>
          <w:color w:val="auto"/>
          <w:sz w:val="24"/>
          <w:szCs w:val="24"/>
        </w:rPr>
      </w:pPr>
      <w:r>
        <w:rPr>
          <w:rFonts w:hint="eastAsia" w:ascii="宋体" w:hAnsi="宋体" w:cs="宋体"/>
          <w:color w:val="auto"/>
          <w:sz w:val="24"/>
          <w:szCs w:val="24"/>
          <w:highlight w:val="none"/>
          <w:lang w:eastAsia="zh-CN"/>
        </w:rPr>
        <w:t xml:space="preserve">★</w:t>
      </w:r>
      <w:r>
        <w:rPr>
          <w:rFonts w:hint="eastAsia" w:ascii="宋体" w:hAnsi="宋体" w:eastAsia="宋体" w:cs="宋体"/>
          <w:b/>
          <w:color w:val="auto"/>
          <w:sz w:val="24"/>
          <w:szCs w:val="24"/>
        </w:rPr>
        <w:t xml:space="preserve">1.1.5.缓冲器：不得使用非金属材质非线性蓄能型缓冲器。</w:t>
      </w:r>
      <w:r/>
    </w:p>
    <w:p>
      <w:pPr>
        <w:ind w:firstLine="482"/>
        <w:spacing w:line="400" w:lineRule="exact"/>
        <w:rPr>
          <w:rFonts w:hint="eastAsia" w:ascii="宋体" w:hAnsi="宋体" w:eastAsia="宋体" w:cs="宋体"/>
          <w:b/>
          <w:color w:val="92d050"/>
          <w:sz w:val="24"/>
          <w:szCs w:val="24"/>
        </w:rPr>
      </w:pPr>
      <w:r>
        <w:rPr>
          <w:rFonts w:hint="eastAsia" w:ascii="宋体" w:hAnsi="宋体" w:cs="宋体"/>
          <w:color w:val="auto"/>
          <w:sz w:val="24"/>
          <w:szCs w:val="24"/>
          <w:highlight w:val="none"/>
          <w:lang w:eastAsia="zh-CN"/>
        </w:rPr>
        <w:t xml:space="preserve">★</w:t>
      </w:r>
      <w:r>
        <w:rPr>
          <w:rFonts w:hint="eastAsia" w:ascii="宋体" w:hAnsi="宋体" w:eastAsia="宋体" w:cs="宋体"/>
          <w:b/>
          <w:color w:val="auto"/>
          <w:sz w:val="24"/>
          <w:szCs w:val="24"/>
        </w:rPr>
        <w:t xml:space="preserve">1.1.6电梯设计使用寿命不少于20年。</w:t>
      </w:r>
      <w:r/>
    </w:p>
    <w:p>
      <w:pPr>
        <w:ind w:firstLine="482"/>
        <w:spacing w:line="400" w:lineRule="exact"/>
        <w:rPr>
          <w:rFonts w:hint="default" w:ascii="宋体" w:hAnsi="宋体" w:eastAsia="宋体" w:cs="宋体"/>
          <w:b/>
          <w:sz w:val="24"/>
          <w:szCs w:val="24"/>
        </w:rPr>
      </w:pPr>
      <w:r>
        <w:rPr>
          <w:rFonts w:hint="eastAsia" w:ascii="宋体" w:hAnsi="宋体" w:eastAsia="宋体" w:cs="宋体"/>
          <w:b/>
          <w:sz w:val="24"/>
          <w:szCs w:val="24"/>
        </w:rPr>
        <w:t xml:space="preserve">（二）技术参数及要求</w:t>
      </w:r>
      <w:r/>
    </w:p>
    <w:tbl>
      <w:tblPr>
        <w:tblStyle w:val="673"/>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36"/>
        <w:gridCol w:w="1494"/>
        <w:gridCol w:w="568"/>
        <w:gridCol w:w="1195"/>
        <w:gridCol w:w="1530"/>
        <w:gridCol w:w="3071"/>
      </w:tblGrid>
      <w:tr>
        <w:trPr>
          <w:jc w:val="center"/>
          <w:trHeight w:val="582"/>
          <w:tblHeader/>
        </w:trPr>
        <w:tc>
          <w:tcPr>
            <w:tcW w:w="818"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（技术参数及要求）</w:t>
            </w:r>
            <w:r/>
          </w:p>
        </w:tc>
        <w:tc>
          <w:tcPr>
            <w:gridSpan w:val="2"/>
            <w:tcW w:w="1097"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品目号</w:t>
            </w:r>
            <w:r/>
          </w:p>
        </w:tc>
        <w:tc>
          <w:tcPr>
            <w:gridSpan w:val="3"/>
            <w:tcW w:w="3084"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有机房电梯</w:t>
            </w:r>
            <w:r/>
          </w:p>
        </w:tc>
      </w:tr>
      <w:tr>
        <w:trPr>
          <w:jc w:val="center"/>
          <w:trHeight w:val="567"/>
          <w:tblHeader/>
        </w:trPr>
        <w:tc>
          <w:tcPr>
            <w:tcW w:w="818"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电源要求</w:t>
            </w:r>
            <w:r/>
          </w:p>
        </w:tc>
        <w:tc>
          <w:tcPr>
            <w:gridSpan w:val="5"/>
            <w:tcW w:w="4181"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动力电源(±10%)：三相五线制，交流 380V、50Hz；照明电源：单相交流 220V、50Hz</w:t>
            </w:r>
            <w:r/>
          </w:p>
        </w:tc>
      </w:tr>
      <w:tr>
        <w:trPr>
          <w:jc w:val="center"/>
          <w:trHeight w:val="143"/>
          <w:tblHeader/>
        </w:trPr>
        <w:tc>
          <w:tcPr>
            <w:tcW w:w="818"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建筑尺寸</w:t>
            </w:r>
            <w:r/>
          </w:p>
        </w:tc>
        <w:tc>
          <w:tcPr>
            <w:gridSpan w:val="3"/>
            <w:tcW w:w="1733"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井道尺寸（宽*深mm）</w:t>
            </w:r>
            <w:r/>
          </w:p>
        </w:tc>
        <w:tc>
          <w:tcPr>
            <w:gridSpan w:val="2"/>
            <w:tcW w:w="2448"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按现场井道尺寸为准</w:t>
            </w:r>
            <w:r/>
          </w:p>
        </w:tc>
      </w:tr>
      <w:tr>
        <w:trPr>
          <w:jc w:val="center"/>
          <w:trHeight w:val="143"/>
          <w:tblHeader/>
        </w:trPr>
        <w:tc>
          <w:tcPr>
            <w:tcW w:w="818"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建筑尺寸</w:t>
            </w:r>
            <w:r/>
          </w:p>
        </w:tc>
        <w:tc>
          <w:tcPr>
            <w:gridSpan w:val="3"/>
            <w:tcW w:w="1733"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厅门尺寸（高*宽mm）</w:t>
            </w:r>
            <w:r/>
          </w:p>
        </w:tc>
        <w:tc>
          <w:tcPr>
            <w:gridSpan w:val="2"/>
            <w:tcW w:w="2448"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按现场井道尺寸为准</w:t>
            </w:r>
            <w:r/>
          </w:p>
        </w:tc>
      </w:tr>
      <w:tr>
        <w:trPr>
          <w:jc w:val="center"/>
          <w:trHeight w:val="143"/>
          <w:tblHeader/>
        </w:trPr>
        <w:tc>
          <w:tcPr>
            <w:tcW w:w="818"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建筑尺寸</w:t>
            </w:r>
            <w:r/>
          </w:p>
        </w:tc>
        <w:tc>
          <w:tcPr>
            <w:gridSpan w:val="3"/>
            <w:tcW w:w="1733"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顶层高度（mm）</w:t>
            </w:r>
            <w:r/>
          </w:p>
        </w:tc>
        <w:tc>
          <w:tcPr>
            <w:gridSpan w:val="2"/>
            <w:tcW w:w="2448"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按现场井道尺寸为准</w:t>
            </w:r>
            <w:r/>
          </w:p>
        </w:tc>
      </w:tr>
      <w:tr>
        <w:trPr>
          <w:jc w:val="center"/>
          <w:trHeight w:val="143"/>
          <w:tblHeader/>
        </w:trPr>
        <w:tc>
          <w:tcPr>
            <w:tcW w:w="818"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建筑尺寸</w:t>
            </w:r>
            <w:r/>
          </w:p>
        </w:tc>
        <w:tc>
          <w:tcPr>
            <w:tcW w:w="795"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机房</w:t>
            </w:r>
            <w:r/>
          </w:p>
        </w:tc>
        <w:tc>
          <w:tcPr>
            <w:gridSpan w:val="2"/>
            <w:tcW w:w="938"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机房位置</w:t>
            </w:r>
            <w:r/>
          </w:p>
        </w:tc>
        <w:tc>
          <w:tcPr>
            <w:gridSpan w:val="2"/>
            <w:tcW w:w="2448"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按现场井道尺寸为准</w:t>
            </w:r>
            <w:r/>
          </w:p>
        </w:tc>
      </w:tr>
      <w:tr>
        <w:trPr>
          <w:jc w:val="center"/>
          <w:trHeight w:val="143"/>
          <w:tblHeader/>
        </w:trPr>
        <w:tc>
          <w:tcPr>
            <w:tcW w:w="818"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建筑尺寸</w:t>
            </w:r>
            <w:r/>
          </w:p>
        </w:tc>
        <w:tc>
          <w:tcPr>
            <w:gridSpan w:val="3"/>
            <w:tcW w:w="1733"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轿厢尺寸（长*宽mm）</w:t>
            </w:r>
            <w:r/>
          </w:p>
        </w:tc>
        <w:tc>
          <w:tcPr>
            <w:gridSpan w:val="2"/>
            <w:tcW w:w="2448"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按投标人根据现场情况提供</w:t>
            </w:r>
            <w:r/>
          </w:p>
        </w:tc>
      </w:tr>
      <w:tr>
        <w:trPr>
          <w:jc w:val="center"/>
          <w:trHeight w:val="143"/>
          <w:tblHeader/>
        </w:trPr>
        <w:tc>
          <w:tcPr>
            <w:tcW w:w="818"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建筑尺寸</w:t>
            </w:r>
            <w:r/>
          </w:p>
        </w:tc>
        <w:tc>
          <w:tcPr>
            <w:gridSpan w:val="3"/>
            <w:tcW w:w="1733"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轿厢净高（mm）</w:t>
            </w:r>
            <w:r/>
          </w:p>
        </w:tc>
        <w:tc>
          <w:tcPr>
            <w:gridSpan w:val="2"/>
            <w:tcW w:w="2448"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按现场井道尺寸设置准</w:t>
            </w:r>
            <w:r/>
          </w:p>
        </w:tc>
      </w:tr>
      <w:tr>
        <w:trPr>
          <w:jc w:val="center"/>
          <w:trHeight w:val="300"/>
          <w:tblHeader/>
        </w:trPr>
        <w:tc>
          <w:tcPr>
            <w:tcW w:w="818"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建筑尺寸</w:t>
            </w:r>
            <w:r/>
          </w:p>
        </w:tc>
        <w:tc>
          <w:tcPr>
            <w:gridSpan w:val="3"/>
            <w:tcW w:w="1733"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底坑深度（mm）</w:t>
            </w:r>
            <w:r/>
          </w:p>
        </w:tc>
        <w:tc>
          <w:tcPr>
            <w:gridSpan w:val="2"/>
            <w:tcW w:w="2448"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按现场井道尺寸为准</w:t>
            </w:r>
            <w:r/>
          </w:p>
        </w:tc>
      </w:tr>
      <w:tr>
        <w:trPr>
          <w:jc w:val="center"/>
          <w:trHeight w:val="143"/>
          <w:tblHeader/>
        </w:trPr>
        <w:tc>
          <w:tcPr>
            <w:tcW w:w="818"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配置要求</w:t>
            </w:r>
            <w:r/>
          </w:p>
        </w:tc>
        <w:tc>
          <w:tcPr>
            <w:gridSpan w:val="3"/>
            <w:tcW w:w="1733"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拖动方式</w:t>
            </w:r>
            <w:r/>
          </w:p>
        </w:tc>
        <w:tc>
          <w:tcPr>
            <w:gridSpan w:val="2"/>
            <w:tcW w:w="2448"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全电脑控制交流变频变压调速（VVVF）   </w:t>
            </w:r>
            <w:r/>
          </w:p>
        </w:tc>
      </w:tr>
      <w:tr>
        <w:trPr>
          <w:jc w:val="center"/>
          <w:trHeight w:val="143"/>
          <w:tblHeader/>
        </w:trPr>
        <w:tc>
          <w:tcPr>
            <w:tcW w:w="818"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配置要求</w:t>
            </w:r>
            <w:r/>
          </w:p>
        </w:tc>
        <w:tc>
          <w:tcPr>
            <w:gridSpan w:val="3"/>
            <w:tcW w:w="1733"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传动方式</w:t>
            </w:r>
            <w:r/>
          </w:p>
        </w:tc>
        <w:tc>
          <w:tcPr>
            <w:gridSpan w:val="2"/>
            <w:tcW w:w="2448"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无齿轮曳引机。</w:t>
            </w:r>
            <w:r/>
          </w:p>
        </w:tc>
      </w:tr>
      <w:tr>
        <w:trPr>
          <w:jc w:val="center"/>
          <w:trHeight w:val="143"/>
          <w:tblHeader/>
        </w:trPr>
        <w:tc>
          <w:tcPr>
            <w:tcW w:w="818"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配置要求</w:t>
            </w:r>
            <w:r/>
          </w:p>
        </w:tc>
        <w:tc>
          <w:tcPr>
            <w:gridSpan w:val="3"/>
            <w:tcW w:w="1733"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传动制动</w:t>
            </w:r>
            <w:r/>
          </w:p>
        </w:tc>
        <w:tc>
          <w:tcPr>
            <w:gridSpan w:val="2"/>
            <w:tcW w:w="2448"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曳引机制动器。</w:t>
            </w:r>
            <w:r/>
          </w:p>
          <w:p>
            <w:pPr>
              <w:spacing w:line="400" w:lineRule="exact"/>
              <w:rPr>
                <w:rFonts w:hint="eastAsia" w:ascii="宋体" w:hAnsi="宋体" w:eastAsia="宋体" w:cs="宋体"/>
                <w:b/>
                <w:sz w:val="24"/>
                <w:szCs w:val="24"/>
              </w:rPr>
            </w:pPr>
            <w:r>
              <w:rPr>
                <w:rFonts w:hint="eastAsia" w:ascii="宋体" w:hAnsi="宋体" w:eastAsia="宋体" w:cs="宋体"/>
                <w:b/>
                <w:color w:val="auto"/>
                <w:sz w:val="24"/>
                <w:szCs w:val="24"/>
              </w:rPr>
              <w:t xml:space="preserve">▲主机制动器的寿命动作试验≥1</w:t>
            </w:r>
            <w:r>
              <w:rPr>
                <w:rFonts w:hint="eastAsia" w:ascii="宋体" w:hAnsi="宋体" w:eastAsia="宋体" w:cs="宋体"/>
                <w:b/>
                <w:color w:val="auto"/>
                <w:sz w:val="24"/>
                <w:szCs w:val="24"/>
                <w:lang w:val="en-US" w:eastAsia="zh-CN"/>
              </w:rPr>
              <w:t xml:space="preserve">100</w:t>
            </w:r>
            <w:r>
              <w:rPr>
                <w:rFonts w:hint="eastAsia" w:ascii="宋体" w:hAnsi="宋体" w:eastAsia="宋体" w:cs="宋体"/>
                <w:b/>
                <w:color w:val="auto"/>
                <w:sz w:val="24"/>
                <w:szCs w:val="24"/>
              </w:rPr>
              <w:t xml:space="preserve">万次（投标文件中需提供相关检验报告原件扫描件）。</w:t>
            </w:r>
            <w:r/>
          </w:p>
        </w:tc>
      </w:tr>
      <w:tr>
        <w:trPr>
          <w:jc w:val="center"/>
          <w:trHeight w:val="143"/>
          <w:tblHeader/>
        </w:trPr>
        <w:tc>
          <w:tcPr>
            <w:tcW w:w="818"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配置要求</w:t>
            </w:r>
            <w:r/>
          </w:p>
        </w:tc>
        <w:tc>
          <w:tcPr>
            <w:gridSpan w:val="3"/>
            <w:tcW w:w="1733"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控制方式</w:t>
            </w:r>
            <w:r/>
          </w:p>
        </w:tc>
        <w:tc>
          <w:tcPr>
            <w:gridSpan w:val="2"/>
            <w:tcW w:w="2448"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全集选控制</w:t>
            </w:r>
            <w:r/>
          </w:p>
        </w:tc>
      </w:tr>
      <w:tr>
        <w:trPr>
          <w:jc w:val="center"/>
          <w:trHeight w:val="143"/>
          <w:tblHeader/>
        </w:trPr>
        <w:tc>
          <w:tcPr>
            <w:tcW w:w="818"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配置要求</w:t>
            </w:r>
            <w:r/>
          </w:p>
        </w:tc>
        <w:tc>
          <w:tcPr>
            <w:gridSpan w:val="3"/>
            <w:tcW w:w="1733"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门机系统</w:t>
            </w:r>
            <w:r/>
          </w:p>
        </w:tc>
        <w:tc>
          <w:tcPr>
            <w:gridSpan w:val="2"/>
            <w:tcW w:w="2448"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交流VVVF控制技术的变频门机。     </w:t>
            </w:r>
            <w:r/>
          </w:p>
        </w:tc>
      </w:tr>
      <w:tr>
        <w:trPr>
          <w:jc w:val="center"/>
          <w:trHeight w:val="143"/>
          <w:tblHeader/>
        </w:trPr>
        <w:tc>
          <w:tcPr>
            <w:tcW w:w="818"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配置要求</w:t>
            </w:r>
            <w:r/>
          </w:p>
        </w:tc>
        <w:tc>
          <w:tcPr>
            <w:gridSpan w:val="3"/>
            <w:tcW w:w="1733"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开门方式</w:t>
            </w:r>
            <w:r/>
          </w:p>
        </w:tc>
        <w:tc>
          <w:tcPr>
            <w:gridSpan w:val="2"/>
            <w:tcW w:w="2448"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双扇中分式自动门</w:t>
            </w:r>
            <w:r/>
          </w:p>
        </w:tc>
      </w:tr>
      <w:tr>
        <w:trPr>
          <w:jc w:val="center"/>
          <w:trHeight w:val="143"/>
          <w:tblHeader/>
        </w:trPr>
        <w:tc>
          <w:tcPr>
            <w:tcW w:w="818"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配置要求</w:t>
            </w:r>
            <w:r/>
          </w:p>
        </w:tc>
        <w:tc>
          <w:tcPr>
            <w:gridSpan w:val="3"/>
            <w:tcW w:w="1733"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门保护装置</w:t>
            </w:r>
            <w:r/>
          </w:p>
        </w:tc>
        <w:tc>
          <w:tcPr>
            <w:gridSpan w:val="2"/>
            <w:tcW w:w="2448"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 光幕保护 </w:t>
            </w:r>
            <w:r/>
          </w:p>
        </w:tc>
      </w:tr>
      <w:tr>
        <w:trPr>
          <w:jc w:val="center"/>
          <w:trHeight w:val="621"/>
          <w:tblHeader/>
        </w:trPr>
        <w:tc>
          <w:tcPr>
            <w:tcW w:w="818"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配置要求</w:t>
            </w:r>
            <w:r/>
          </w:p>
        </w:tc>
        <w:tc>
          <w:tcPr>
            <w:gridSpan w:val="3"/>
            <w:tcW w:w="1733"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电源适应</w:t>
            </w:r>
            <w:r/>
          </w:p>
        </w:tc>
        <w:tc>
          <w:tcPr>
            <w:gridSpan w:val="2"/>
            <w:tcW w:w="2448"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交流三相380伏±10%，三相五线，50赫兹    </w:t>
            </w:r>
            <w:r/>
          </w:p>
        </w:tc>
      </w:tr>
      <w:tr>
        <w:trPr>
          <w:jc w:val="center"/>
          <w:trHeight w:val="143"/>
          <w:tblHeader/>
        </w:trPr>
        <w:tc>
          <w:tcPr>
            <w:tcW w:w="818"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性能要求</w:t>
            </w:r>
            <w:r/>
          </w:p>
        </w:tc>
        <w:tc>
          <w:tcPr>
            <w:gridSpan w:val="3"/>
            <w:tcW w:w="1733"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额定速度允许误差</w:t>
            </w:r>
            <w:r/>
          </w:p>
        </w:tc>
        <w:tc>
          <w:tcPr>
            <w:gridSpan w:val="2"/>
            <w:tcW w:w="2448"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符合或优于国家规范及标准</w:t>
            </w:r>
            <w:r/>
          </w:p>
        </w:tc>
      </w:tr>
      <w:tr>
        <w:trPr>
          <w:jc w:val="center"/>
          <w:trHeight w:val="143"/>
          <w:tblHeader/>
        </w:trPr>
        <w:tc>
          <w:tcPr>
            <w:tcW w:w="818"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性能要求</w:t>
            </w:r>
            <w:r/>
          </w:p>
        </w:tc>
        <w:tc>
          <w:tcPr>
            <w:gridSpan w:val="3"/>
            <w:tcW w:w="1733"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乘客电梯轿厢运行时垂直方向和水平方向的振动加速度</w:t>
            </w:r>
            <w:r/>
          </w:p>
        </w:tc>
        <w:tc>
          <w:tcPr>
            <w:gridSpan w:val="2"/>
            <w:tcW w:w="2448"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符合或优于国家规范及标准</w:t>
            </w:r>
            <w:r/>
          </w:p>
        </w:tc>
      </w:tr>
      <w:tr>
        <w:trPr>
          <w:jc w:val="center"/>
          <w:trHeight w:val="143"/>
          <w:tblHeader/>
        </w:trPr>
        <w:tc>
          <w:tcPr>
            <w:tcW w:w="818"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性能要求</w:t>
            </w:r>
            <w:r/>
          </w:p>
        </w:tc>
        <w:tc>
          <w:tcPr>
            <w:gridSpan w:val="3"/>
            <w:tcW w:w="1733"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平层准确度</w:t>
            </w:r>
            <w:r/>
          </w:p>
        </w:tc>
        <w:tc>
          <w:tcPr>
            <w:gridSpan w:val="2"/>
            <w:tcW w:w="2448"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符合或优于国家规范及标准</w:t>
            </w:r>
            <w:r/>
          </w:p>
        </w:tc>
      </w:tr>
      <w:tr>
        <w:trPr>
          <w:jc w:val="center"/>
          <w:trHeight w:val="300"/>
          <w:tblHeader/>
        </w:trPr>
        <w:tc>
          <w:tcPr>
            <w:tcW w:w="818"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性能要求</w:t>
            </w:r>
            <w:r/>
          </w:p>
        </w:tc>
        <w:tc>
          <w:tcPr>
            <w:gridSpan w:val="3"/>
            <w:tcW w:w="1733"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噪声指标</w:t>
            </w:r>
            <w:r/>
          </w:p>
        </w:tc>
        <w:tc>
          <w:tcPr>
            <w:gridSpan w:val="2"/>
            <w:tcW w:w="2448"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符合或优于国家规范及标准</w:t>
            </w:r>
            <w:r/>
          </w:p>
        </w:tc>
      </w:tr>
      <w:tr>
        <w:trPr>
          <w:jc w:val="center"/>
          <w:trHeight w:val="143"/>
          <w:tblHeader/>
        </w:trPr>
        <w:tc>
          <w:tcPr>
            <w:tcW w:w="818"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内外装饰要求</w:t>
            </w:r>
            <w:r/>
          </w:p>
        </w:tc>
        <w:tc>
          <w:tcPr>
            <w:tcW w:w="795"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轿厢</w:t>
            </w:r>
            <w:r/>
          </w:p>
        </w:tc>
        <w:tc>
          <w:tcPr>
            <w:gridSpan w:val="2"/>
            <w:tcW w:w="938"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轿厢顶</w:t>
            </w:r>
            <w:r/>
          </w:p>
        </w:tc>
        <w:tc>
          <w:tcPr>
            <w:gridSpan w:val="2"/>
            <w:tcW w:w="2448"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光亮LED照明，采用隐藏式横流通风扇  </w:t>
            </w:r>
            <w:r/>
          </w:p>
        </w:tc>
      </w:tr>
      <w:tr>
        <w:trPr>
          <w:jc w:val="center"/>
          <w:trHeight w:val="143"/>
          <w:tblHeader/>
        </w:trPr>
        <w:tc>
          <w:tcPr>
            <w:tcW w:w="818"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内外装饰要求</w:t>
            </w:r>
            <w:r/>
          </w:p>
        </w:tc>
        <w:tc>
          <w:tcPr>
            <w:tcW w:w="795"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轿厢</w:t>
            </w:r>
            <w:r/>
          </w:p>
        </w:tc>
        <w:tc>
          <w:tcPr>
            <w:gridSpan w:val="2"/>
            <w:tcW w:w="938"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轿厢壁板</w:t>
            </w:r>
            <w:r/>
          </w:p>
        </w:tc>
        <w:tc>
          <w:tcPr>
            <w:gridSpan w:val="2"/>
            <w:tcW w:w="2448" w:type="pct"/>
            <w:vAlign w:val="center"/>
            <w:textDirection w:val="lrTb"/>
            <w:noWrap w:val="false"/>
          </w:tcPr>
          <w:p>
            <w:pPr>
              <w:ind w:firstLine="482"/>
              <w:spacing w:line="400" w:lineRule="exact"/>
              <w:rPr>
                <w:rFonts w:hint="eastAsia" w:ascii="宋体" w:hAnsi="宋体" w:eastAsia="宋体" w:cs="宋体"/>
                <w:b/>
                <w:color w:val="auto"/>
                <w:sz w:val="24"/>
                <w:szCs w:val="24"/>
                <w:lang w:eastAsia="zh-CN"/>
              </w:rPr>
            </w:pPr>
            <w:r>
              <w:rPr>
                <w:rFonts w:hint="eastAsia" w:ascii="宋体" w:hAnsi="宋体" w:eastAsia="宋体" w:cs="宋体"/>
                <w:b/>
                <w:color w:val="auto"/>
                <w:sz w:val="24"/>
                <w:szCs w:val="24"/>
              </w:rPr>
              <w:t xml:space="preserve">不锈钢厚度≥</w:t>
            </w:r>
            <w:r>
              <w:rPr>
                <w:rFonts w:hint="eastAsia" w:ascii="宋体" w:hAnsi="宋体" w:eastAsia="宋体" w:cs="宋体"/>
                <w:b/>
                <w:color w:val="auto"/>
                <w:sz w:val="24"/>
                <w:szCs w:val="24"/>
                <w:lang w:eastAsia="zh-CN"/>
              </w:rPr>
              <w:t xml:space="preserve">1.5mm</w:t>
            </w:r>
            <w:r/>
          </w:p>
        </w:tc>
      </w:tr>
      <w:tr>
        <w:trPr>
          <w:jc w:val="center"/>
          <w:trHeight w:val="143"/>
          <w:tblHeader/>
        </w:trPr>
        <w:tc>
          <w:tcPr>
            <w:tcW w:w="818"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内外装饰要求</w:t>
            </w:r>
            <w:r/>
          </w:p>
        </w:tc>
        <w:tc>
          <w:tcPr>
            <w:tcW w:w="795"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轿厢</w:t>
            </w:r>
            <w:r/>
          </w:p>
        </w:tc>
        <w:tc>
          <w:tcPr>
            <w:gridSpan w:val="2"/>
            <w:tcW w:w="938"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轿厢门</w:t>
            </w:r>
            <w:r/>
          </w:p>
        </w:tc>
        <w:tc>
          <w:tcPr>
            <w:gridSpan w:val="2"/>
            <w:tcW w:w="2448" w:type="pct"/>
            <w:vAlign w:val="center"/>
            <w:textDirection w:val="lrTb"/>
            <w:noWrap w:val="false"/>
          </w:tcPr>
          <w:p>
            <w:pPr>
              <w:ind w:firstLine="482"/>
              <w:spacing w:line="400" w:lineRule="exact"/>
              <w:rPr>
                <w:rFonts w:hint="eastAsia" w:ascii="宋体" w:hAnsi="宋体" w:eastAsia="宋体" w:cs="宋体"/>
                <w:b/>
                <w:color w:val="auto"/>
                <w:sz w:val="24"/>
                <w:szCs w:val="24"/>
                <w:lang w:eastAsia="zh-CN"/>
              </w:rPr>
            </w:pPr>
            <w:r>
              <w:rPr>
                <w:rFonts w:hint="eastAsia" w:ascii="宋体" w:hAnsi="宋体" w:eastAsia="宋体" w:cs="宋体"/>
                <w:b/>
                <w:color w:val="auto"/>
                <w:sz w:val="24"/>
                <w:szCs w:val="24"/>
              </w:rPr>
              <w:t xml:space="preserve">不锈钢厚度≥</w:t>
            </w:r>
            <w:r>
              <w:rPr>
                <w:rFonts w:hint="eastAsia" w:ascii="宋体" w:hAnsi="宋体" w:eastAsia="宋体" w:cs="宋体"/>
                <w:b/>
                <w:color w:val="auto"/>
                <w:sz w:val="24"/>
                <w:szCs w:val="24"/>
                <w:lang w:eastAsia="zh-CN"/>
              </w:rPr>
              <w:t xml:space="preserve">1.5mm</w:t>
            </w:r>
            <w:r/>
          </w:p>
        </w:tc>
      </w:tr>
      <w:tr>
        <w:trPr>
          <w:jc w:val="center"/>
          <w:trHeight w:val="143"/>
          <w:tblHeader/>
        </w:trPr>
        <w:tc>
          <w:tcPr>
            <w:tcW w:w="818"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内外装饰要求</w:t>
            </w:r>
            <w:r/>
          </w:p>
        </w:tc>
        <w:tc>
          <w:tcPr>
            <w:tcW w:w="795"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轿厢</w:t>
            </w:r>
            <w:r/>
          </w:p>
        </w:tc>
        <w:tc>
          <w:tcPr>
            <w:gridSpan w:val="2"/>
            <w:tcW w:w="938"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脚踏板</w:t>
            </w:r>
            <w:r/>
          </w:p>
        </w:tc>
        <w:tc>
          <w:tcPr>
            <w:gridSpan w:val="2"/>
            <w:tcW w:w="2448" w:type="pct"/>
            <w:vAlign w:val="center"/>
            <w:textDirection w:val="lrTb"/>
            <w:noWrap w:val="false"/>
          </w:tcPr>
          <w:p>
            <w:pPr>
              <w:ind w:firstLine="482"/>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硬质铝合金</w:t>
            </w:r>
            <w:r/>
          </w:p>
        </w:tc>
      </w:tr>
      <w:tr>
        <w:trPr>
          <w:jc w:val="center"/>
          <w:trHeight w:val="143"/>
          <w:tblHeader/>
        </w:trPr>
        <w:tc>
          <w:tcPr>
            <w:tcW w:w="818"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内外装饰要求</w:t>
            </w:r>
            <w:r/>
          </w:p>
        </w:tc>
        <w:tc>
          <w:tcPr>
            <w:tcW w:w="795"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轿厢</w:t>
            </w:r>
            <w:r/>
          </w:p>
        </w:tc>
        <w:tc>
          <w:tcPr>
            <w:gridSpan w:val="2"/>
            <w:tcW w:w="938"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轿厢地面</w:t>
            </w:r>
            <w:r/>
          </w:p>
        </w:tc>
        <w:tc>
          <w:tcPr>
            <w:gridSpan w:val="2"/>
            <w:tcW w:w="2448" w:type="pct"/>
            <w:vAlign w:val="center"/>
            <w:textDirection w:val="lrTb"/>
            <w:noWrap w:val="false"/>
          </w:tcPr>
          <w:p>
            <w:pPr>
              <w:ind w:firstLine="482"/>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PVC拼花地板    </w:t>
            </w:r>
            <w:r/>
          </w:p>
        </w:tc>
      </w:tr>
      <w:tr>
        <w:trPr>
          <w:jc w:val="center"/>
          <w:trHeight w:val="805"/>
          <w:tblHeader/>
        </w:trPr>
        <w:tc>
          <w:tcPr>
            <w:tcW w:w="818"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内外装饰要求</w:t>
            </w:r>
            <w:r/>
          </w:p>
        </w:tc>
        <w:tc>
          <w:tcPr>
            <w:tcW w:w="795"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轿厢</w:t>
            </w:r>
            <w:r/>
          </w:p>
        </w:tc>
        <w:tc>
          <w:tcPr>
            <w:gridSpan w:val="2"/>
            <w:tcW w:w="938"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操作盘</w:t>
            </w:r>
            <w:r/>
          </w:p>
        </w:tc>
        <w:tc>
          <w:tcPr>
            <w:tcW w:w="814" w:type="pct"/>
            <w:vAlign w:val="center"/>
            <w:textDirection w:val="lrTb"/>
            <w:noWrap w:val="false"/>
          </w:tcPr>
          <w:p>
            <w:pPr>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面板材质</w:t>
            </w:r>
            <w:r/>
          </w:p>
        </w:tc>
        <w:tc>
          <w:tcPr>
            <w:tcW w:w="1634" w:type="pct"/>
            <w:vAlign w:val="center"/>
            <w:textDirection w:val="lrTb"/>
            <w:noWrap w:val="false"/>
          </w:tcPr>
          <w:p>
            <w:pPr>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▲前轿壁一体式不锈钢</w:t>
            </w:r>
            <w:r/>
          </w:p>
        </w:tc>
      </w:tr>
      <w:tr>
        <w:trPr>
          <w:jc w:val="center"/>
          <w:trHeight w:val="143"/>
          <w:tblHeader/>
        </w:trPr>
        <w:tc>
          <w:tcPr>
            <w:tcW w:w="818"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内外装饰要求</w:t>
            </w:r>
            <w:r/>
          </w:p>
        </w:tc>
        <w:tc>
          <w:tcPr>
            <w:tcW w:w="795"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轿厢</w:t>
            </w:r>
            <w:r/>
          </w:p>
        </w:tc>
        <w:tc>
          <w:tcPr>
            <w:gridSpan w:val="2"/>
            <w:tcW w:w="938"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操作盘</w:t>
            </w:r>
            <w:r/>
          </w:p>
        </w:tc>
        <w:tc>
          <w:tcPr>
            <w:tcW w:w="814"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显示器显示内容</w:t>
            </w:r>
            <w:r/>
          </w:p>
        </w:tc>
        <w:tc>
          <w:tcPr>
            <w:tcW w:w="1634"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段码或液晶显示、运行方向显示、楼层显示</w:t>
            </w:r>
            <w:r/>
          </w:p>
        </w:tc>
      </w:tr>
      <w:tr>
        <w:trPr>
          <w:jc w:val="center"/>
          <w:trHeight w:val="143"/>
          <w:tblHeader/>
        </w:trPr>
        <w:tc>
          <w:tcPr>
            <w:tcW w:w="818"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内外装饰要求</w:t>
            </w:r>
            <w:r/>
          </w:p>
        </w:tc>
        <w:tc>
          <w:tcPr>
            <w:tcW w:w="795"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轿厢</w:t>
            </w:r>
            <w:r/>
          </w:p>
        </w:tc>
        <w:tc>
          <w:tcPr>
            <w:gridSpan w:val="2"/>
            <w:tcW w:w="938"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操作盘</w:t>
            </w:r>
            <w:r/>
          </w:p>
        </w:tc>
        <w:tc>
          <w:tcPr>
            <w:tcW w:w="814"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操作功能</w:t>
            </w:r>
            <w:r/>
          </w:p>
        </w:tc>
        <w:tc>
          <w:tcPr>
            <w:tcW w:w="1634"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隐藏式对讲机</w:t>
            </w:r>
            <w:r/>
          </w:p>
        </w:tc>
      </w:tr>
      <w:tr>
        <w:trPr>
          <w:jc w:val="center"/>
          <w:trHeight w:val="143"/>
          <w:tblHeader/>
        </w:trPr>
        <w:tc>
          <w:tcPr>
            <w:tcW w:w="818"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内外装饰要求</w:t>
            </w:r>
            <w:r/>
          </w:p>
        </w:tc>
        <w:tc>
          <w:tcPr>
            <w:tcW w:w="795"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轿厢</w:t>
            </w:r>
            <w:r/>
          </w:p>
        </w:tc>
        <w:tc>
          <w:tcPr>
            <w:gridSpan w:val="2"/>
            <w:tcW w:w="938"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操作盘</w:t>
            </w:r>
            <w:r/>
          </w:p>
        </w:tc>
        <w:tc>
          <w:tcPr>
            <w:tcW w:w="814"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标示要求</w:t>
            </w:r>
            <w:r/>
          </w:p>
        </w:tc>
        <w:tc>
          <w:tcPr>
            <w:tcW w:w="1634"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运行方向、楼层显示</w:t>
            </w:r>
            <w:r/>
          </w:p>
        </w:tc>
      </w:tr>
      <w:tr>
        <w:trPr>
          <w:jc w:val="center"/>
          <w:trHeight w:val="143"/>
          <w:tblHeader/>
        </w:trPr>
        <w:tc>
          <w:tcPr>
            <w:tcW w:w="818"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内外装饰要求</w:t>
            </w:r>
            <w:r/>
          </w:p>
        </w:tc>
        <w:tc>
          <w:tcPr>
            <w:tcW w:w="795"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轿厢</w:t>
            </w:r>
            <w:r/>
          </w:p>
        </w:tc>
        <w:tc>
          <w:tcPr>
            <w:gridSpan w:val="2"/>
            <w:tcW w:w="938"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操作盘</w:t>
            </w:r>
            <w:r/>
          </w:p>
        </w:tc>
        <w:tc>
          <w:tcPr>
            <w:tcW w:w="814"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按钮要求</w:t>
            </w:r>
            <w:r/>
          </w:p>
        </w:tc>
        <w:tc>
          <w:tcPr>
            <w:tcW w:w="1634" w:type="pct"/>
            <w:vAlign w:val="center"/>
            <w:textDirection w:val="lrTb"/>
            <w:noWrap w:val="false"/>
          </w:tcPr>
          <w:p>
            <w:pPr>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金属按钮带光亮显示、开关门按钮、紧急呼叫按钮。盲文按钮</w:t>
            </w:r>
            <w:r/>
          </w:p>
          <w:p>
            <w:pPr>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▲电梯按钮的机械、电气动作寿命达到</w:t>
            </w:r>
            <w:r>
              <w:rPr>
                <w:rFonts w:hint="eastAsia" w:ascii="宋体" w:hAnsi="宋体" w:eastAsia="宋体" w:cs="宋体"/>
                <w:b/>
                <w:color w:val="auto"/>
                <w:sz w:val="24"/>
                <w:szCs w:val="24"/>
                <w:lang w:val="en-US" w:eastAsia="zh-CN"/>
              </w:rPr>
              <w:t xml:space="preserve">500</w:t>
            </w:r>
            <w:r>
              <w:rPr>
                <w:rFonts w:hint="eastAsia" w:ascii="宋体" w:hAnsi="宋体" w:eastAsia="宋体" w:cs="宋体"/>
                <w:b/>
                <w:color w:val="auto"/>
                <w:sz w:val="24"/>
                <w:szCs w:val="24"/>
              </w:rPr>
              <w:t xml:space="preserve">万次及以上（投标文件中需提供第三方检测机构出具的检验报告原件扫描件）。</w:t>
            </w:r>
            <w:r/>
          </w:p>
        </w:tc>
      </w:tr>
      <w:tr>
        <w:trPr>
          <w:jc w:val="center"/>
          <w:trHeight w:val="143"/>
          <w:tblHeader/>
        </w:trPr>
        <w:tc>
          <w:tcPr>
            <w:tcW w:w="818" w:type="pct"/>
            <w:vAlign w:val="center"/>
            <w:textDirection w:val="lrTb"/>
            <w:noWrap w:val="false"/>
          </w:tcPr>
          <w:p>
            <w:pPr>
              <w:jc w:val="left"/>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内外装饰要求</w:t>
            </w:r>
            <w:r/>
          </w:p>
        </w:tc>
        <w:tc>
          <w:tcPr>
            <w:tcW w:w="795" w:type="pct"/>
            <w:vAlign w:val="center"/>
            <w:textDirection w:val="lrTb"/>
            <w:noWrap w:val="false"/>
          </w:tcPr>
          <w:p>
            <w:pPr>
              <w:jc w:val="left"/>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厅门及门套</w:t>
            </w:r>
            <w:r/>
          </w:p>
        </w:tc>
        <w:tc>
          <w:tcPr>
            <w:gridSpan w:val="2"/>
            <w:tcW w:w="938"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厅门</w:t>
            </w:r>
            <w:r/>
          </w:p>
        </w:tc>
        <w:tc>
          <w:tcPr>
            <w:tcW w:w="814"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材质</w:t>
            </w:r>
            <w:r/>
          </w:p>
        </w:tc>
        <w:tc>
          <w:tcPr>
            <w:tcW w:w="1634" w:type="pct"/>
            <w:vAlign w:val="center"/>
            <w:textDirection w:val="lrTb"/>
            <w:noWrap w:val="false"/>
          </w:tcPr>
          <w:p>
            <w:pPr>
              <w:ind w:firstLine="482"/>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不锈钢厚度≥</w:t>
            </w:r>
            <w:r>
              <w:rPr>
                <w:rFonts w:hint="eastAsia" w:ascii="宋体" w:hAnsi="宋体" w:eastAsia="宋体" w:cs="宋体"/>
                <w:b/>
                <w:color w:val="auto"/>
                <w:sz w:val="24"/>
                <w:szCs w:val="24"/>
                <w:lang w:eastAsia="zh-CN"/>
              </w:rPr>
              <w:t xml:space="preserve">1.5mm</w:t>
            </w:r>
            <w:r>
              <w:rPr>
                <w:rFonts w:hint="eastAsia" w:ascii="宋体" w:hAnsi="宋体" w:eastAsia="宋体" w:cs="宋体"/>
                <w:b/>
                <w:color w:val="auto"/>
                <w:sz w:val="24"/>
                <w:szCs w:val="24"/>
              </w:rPr>
              <w:t xml:space="preserve"> </w:t>
            </w:r>
            <w:r/>
          </w:p>
        </w:tc>
      </w:tr>
      <w:tr>
        <w:trPr>
          <w:jc w:val="center"/>
          <w:trHeight w:val="611"/>
          <w:tblHeader/>
        </w:trPr>
        <w:tc>
          <w:tcPr>
            <w:tcW w:w="818" w:type="pct"/>
            <w:vAlign w:val="center"/>
            <w:textDirection w:val="lrTb"/>
            <w:noWrap w:val="false"/>
          </w:tcPr>
          <w:p>
            <w:pPr>
              <w:jc w:val="left"/>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内外装饰要求</w:t>
            </w:r>
            <w:r/>
          </w:p>
        </w:tc>
        <w:tc>
          <w:tcPr>
            <w:tcW w:w="795" w:type="pct"/>
            <w:vAlign w:val="center"/>
            <w:textDirection w:val="lrTb"/>
            <w:noWrap w:val="false"/>
          </w:tcPr>
          <w:p>
            <w:pPr>
              <w:jc w:val="left"/>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厅门及门套</w:t>
            </w:r>
            <w:r/>
          </w:p>
        </w:tc>
        <w:tc>
          <w:tcPr>
            <w:gridSpan w:val="2"/>
            <w:tcW w:w="938"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厅门</w:t>
            </w:r>
            <w:r/>
          </w:p>
        </w:tc>
        <w:tc>
          <w:tcPr>
            <w:tcW w:w="814"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厚度</w:t>
            </w:r>
            <w:r/>
          </w:p>
        </w:tc>
        <w:tc>
          <w:tcPr>
            <w:tcW w:w="1634" w:type="pct"/>
            <w:vAlign w:val="center"/>
            <w:textDirection w:val="lrTb"/>
            <w:noWrap w:val="false"/>
          </w:tcPr>
          <w:p>
            <w:pPr>
              <w:ind w:firstLine="482"/>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符合国家规范及标准</w:t>
            </w:r>
            <w:r/>
          </w:p>
        </w:tc>
      </w:tr>
      <w:tr>
        <w:trPr>
          <w:jc w:val="center"/>
          <w:trHeight w:val="143"/>
          <w:tblHeader/>
        </w:trPr>
        <w:tc>
          <w:tcPr>
            <w:tcW w:w="818" w:type="pct"/>
            <w:vAlign w:val="center"/>
            <w:textDirection w:val="lrTb"/>
            <w:noWrap w:val="false"/>
          </w:tcPr>
          <w:p>
            <w:pPr>
              <w:jc w:val="left"/>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内外装饰要求</w:t>
            </w:r>
            <w:r/>
          </w:p>
        </w:tc>
        <w:tc>
          <w:tcPr>
            <w:tcW w:w="795" w:type="pct"/>
            <w:vAlign w:val="center"/>
            <w:textDirection w:val="lrTb"/>
            <w:noWrap w:val="false"/>
          </w:tcPr>
          <w:p>
            <w:pPr>
              <w:jc w:val="left"/>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厅门及门套</w:t>
            </w:r>
            <w:r/>
          </w:p>
        </w:tc>
        <w:tc>
          <w:tcPr>
            <w:gridSpan w:val="2"/>
            <w:tcW w:w="938"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厅门</w:t>
            </w:r>
            <w:r/>
          </w:p>
        </w:tc>
        <w:tc>
          <w:tcPr>
            <w:tcW w:w="814"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颜色</w:t>
            </w:r>
            <w:r/>
          </w:p>
        </w:tc>
        <w:tc>
          <w:tcPr>
            <w:tcW w:w="1634" w:type="pct"/>
            <w:vAlign w:val="center"/>
            <w:textDirection w:val="lrTb"/>
            <w:noWrap w:val="false"/>
          </w:tcPr>
          <w:p>
            <w:pPr>
              <w:ind w:firstLine="482"/>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不锈钢</w:t>
            </w:r>
            <w:r/>
          </w:p>
        </w:tc>
      </w:tr>
      <w:tr>
        <w:trPr>
          <w:jc w:val="center"/>
          <w:trHeight w:val="143"/>
          <w:tblHeader/>
        </w:trPr>
        <w:tc>
          <w:tcPr>
            <w:tcW w:w="818" w:type="pct"/>
            <w:vAlign w:val="center"/>
            <w:textDirection w:val="lrTb"/>
            <w:noWrap w:val="false"/>
          </w:tcPr>
          <w:p>
            <w:pPr>
              <w:jc w:val="left"/>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内外装饰要求</w:t>
            </w:r>
            <w:r/>
          </w:p>
        </w:tc>
        <w:tc>
          <w:tcPr>
            <w:tcW w:w="795" w:type="pct"/>
            <w:vAlign w:val="center"/>
            <w:textDirection w:val="lrTb"/>
            <w:noWrap w:val="false"/>
          </w:tcPr>
          <w:p>
            <w:pPr>
              <w:jc w:val="left"/>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厅门及门套</w:t>
            </w:r>
            <w:r/>
          </w:p>
        </w:tc>
        <w:tc>
          <w:tcPr>
            <w:gridSpan w:val="2"/>
            <w:tcW w:w="938"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小门套</w:t>
            </w:r>
            <w:r/>
          </w:p>
        </w:tc>
        <w:tc>
          <w:tcPr>
            <w:tcW w:w="814"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材质</w:t>
            </w:r>
            <w:r/>
          </w:p>
        </w:tc>
        <w:tc>
          <w:tcPr>
            <w:tcW w:w="1634" w:type="pct"/>
            <w:vAlign w:val="center"/>
            <w:textDirection w:val="lrTb"/>
            <w:noWrap w:val="false"/>
          </w:tcPr>
          <w:p>
            <w:pPr>
              <w:ind w:firstLine="482"/>
              <w:spacing w:line="400" w:lineRule="exact"/>
              <w:rPr>
                <w:rFonts w:hint="eastAsia" w:ascii="宋体" w:hAnsi="宋体" w:eastAsia="宋体" w:cs="宋体"/>
                <w:b/>
                <w:color w:val="auto"/>
                <w:sz w:val="24"/>
                <w:szCs w:val="24"/>
                <w:lang w:eastAsia="zh-CN"/>
              </w:rPr>
            </w:pPr>
            <w:r>
              <w:rPr>
                <w:rFonts w:hint="eastAsia" w:ascii="宋体" w:hAnsi="宋体" w:eastAsia="宋体" w:cs="宋体"/>
                <w:b/>
                <w:color w:val="auto"/>
                <w:sz w:val="24"/>
                <w:szCs w:val="24"/>
              </w:rPr>
              <w:t xml:space="preserve">不锈钢厚度≥</w:t>
            </w:r>
            <w:r>
              <w:rPr>
                <w:rFonts w:hint="eastAsia" w:ascii="宋体" w:hAnsi="宋体" w:eastAsia="宋体" w:cs="宋体"/>
                <w:b/>
                <w:color w:val="auto"/>
                <w:sz w:val="24"/>
                <w:szCs w:val="24"/>
                <w:lang w:eastAsia="zh-CN"/>
              </w:rPr>
              <w:t xml:space="preserve">1.5mm</w:t>
            </w:r>
            <w:r/>
          </w:p>
        </w:tc>
      </w:tr>
      <w:tr>
        <w:trPr>
          <w:jc w:val="center"/>
          <w:trHeight w:val="143"/>
          <w:tblHeader/>
        </w:trPr>
        <w:tc>
          <w:tcPr>
            <w:tcW w:w="818" w:type="pct"/>
            <w:vAlign w:val="center"/>
            <w:textDirection w:val="lrTb"/>
            <w:noWrap w:val="false"/>
          </w:tcPr>
          <w:p>
            <w:pPr>
              <w:jc w:val="left"/>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内外装饰要求</w:t>
            </w:r>
            <w:r/>
          </w:p>
        </w:tc>
        <w:tc>
          <w:tcPr>
            <w:tcW w:w="795" w:type="pct"/>
            <w:vAlign w:val="center"/>
            <w:textDirection w:val="lrTb"/>
            <w:noWrap w:val="false"/>
          </w:tcPr>
          <w:p>
            <w:pPr>
              <w:jc w:val="left"/>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厅门及门套</w:t>
            </w:r>
            <w:r/>
          </w:p>
        </w:tc>
        <w:tc>
          <w:tcPr>
            <w:gridSpan w:val="2"/>
            <w:tcW w:w="938"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小门套</w:t>
            </w:r>
            <w:r/>
          </w:p>
        </w:tc>
        <w:tc>
          <w:tcPr>
            <w:tcW w:w="814"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厚度</w:t>
            </w:r>
            <w:r/>
          </w:p>
        </w:tc>
        <w:tc>
          <w:tcPr>
            <w:tcW w:w="1634"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符合国家规范及标准</w:t>
            </w:r>
            <w:r/>
          </w:p>
        </w:tc>
      </w:tr>
      <w:tr>
        <w:trPr>
          <w:jc w:val="center"/>
          <w:trHeight w:val="143"/>
          <w:tblHeader/>
        </w:trPr>
        <w:tc>
          <w:tcPr>
            <w:tcW w:w="818" w:type="pct"/>
            <w:vAlign w:val="center"/>
            <w:textDirection w:val="lrTb"/>
            <w:noWrap w:val="false"/>
          </w:tcPr>
          <w:p>
            <w:pPr>
              <w:jc w:val="left"/>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内外装饰要求</w:t>
            </w:r>
            <w:r/>
          </w:p>
        </w:tc>
        <w:tc>
          <w:tcPr>
            <w:tcW w:w="795" w:type="pct"/>
            <w:vAlign w:val="center"/>
            <w:textDirection w:val="lrTb"/>
            <w:noWrap w:val="false"/>
          </w:tcPr>
          <w:p>
            <w:pPr>
              <w:jc w:val="left"/>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厅门及门套</w:t>
            </w:r>
            <w:r/>
          </w:p>
        </w:tc>
        <w:tc>
          <w:tcPr>
            <w:gridSpan w:val="2"/>
            <w:tcW w:w="938"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小门套</w:t>
            </w:r>
            <w:r/>
          </w:p>
        </w:tc>
        <w:tc>
          <w:tcPr>
            <w:tcW w:w="814"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颜色</w:t>
            </w:r>
            <w:r/>
          </w:p>
        </w:tc>
        <w:tc>
          <w:tcPr>
            <w:tcW w:w="1634"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不锈钢</w:t>
            </w:r>
            <w:r/>
          </w:p>
        </w:tc>
      </w:tr>
      <w:tr>
        <w:trPr>
          <w:jc w:val="center"/>
          <w:trHeight w:val="143"/>
          <w:tblHeader/>
        </w:trPr>
        <w:tc>
          <w:tcPr>
            <w:tcW w:w="818" w:type="pct"/>
            <w:vAlign w:val="center"/>
            <w:textDirection w:val="lrTb"/>
            <w:noWrap w:val="false"/>
          </w:tcPr>
          <w:p>
            <w:pPr>
              <w:jc w:val="left"/>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内外装饰要求</w:t>
            </w:r>
            <w:r/>
          </w:p>
        </w:tc>
        <w:tc>
          <w:tcPr>
            <w:tcW w:w="795" w:type="pct"/>
            <w:vAlign w:val="center"/>
            <w:textDirection w:val="lrTb"/>
            <w:noWrap w:val="false"/>
          </w:tcPr>
          <w:p>
            <w:pPr>
              <w:jc w:val="left"/>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厅门及门套</w:t>
            </w:r>
            <w:r/>
          </w:p>
        </w:tc>
        <w:tc>
          <w:tcPr>
            <w:gridSpan w:val="2"/>
            <w:tcW w:w="938"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楼层召唤</w:t>
            </w:r>
            <w:r/>
          </w:p>
        </w:tc>
        <w:tc>
          <w:tcPr>
            <w:tcW w:w="814"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显示内容</w:t>
            </w:r>
            <w:r/>
          </w:p>
        </w:tc>
        <w:tc>
          <w:tcPr>
            <w:tcW w:w="1634"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段码或液晶显示、运行到达楼层显示、运行方向显示</w:t>
            </w:r>
            <w:r/>
          </w:p>
        </w:tc>
      </w:tr>
      <w:tr>
        <w:trPr>
          <w:jc w:val="center"/>
          <w:trHeight w:val="143"/>
          <w:tblHeader/>
        </w:trPr>
        <w:tc>
          <w:tcPr>
            <w:tcW w:w="818"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内外装饰要求</w:t>
            </w:r>
            <w:r/>
          </w:p>
        </w:tc>
        <w:tc>
          <w:tcPr>
            <w:tcW w:w="795"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厅门及门套</w:t>
            </w:r>
            <w:r/>
          </w:p>
        </w:tc>
        <w:tc>
          <w:tcPr>
            <w:gridSpan w:val="2"/>
            <w:tcW w:w="938"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楼层召唤</w:t>
            </w:r>
            <w:r/>
          </w:p>
        </w:tc>
        <w:tc>
          <w:tcPr>
            <w:tcW w:w="814"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面板材质</w:t>
            </w:r>
            <w:r/>
          </w:p>
        </w:tc>
        <w:tc>
          <w:tcPr>
            <w:tcW w:w="1634"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不锈钢</w:t>
            </w:r>
            <w:r/>
          </w:p>
        </w:tc>
      </w:tr>
      <w:tr>
        <w:trPr>
          <w:jc w:val="center"/>
          <w:trHeight w:val="143"/>
          <w:tblHeader/>
        </w:trPr>
        <w:tc>
          <w:tcPr>
            <w:tcW w:w="818"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内外装饰要求</w:t>
            </w:r>
            <w:r/>
          </w:p>
        </w:tc>
        <w:tc>
          <w:tcPr>
            <w:tcW w:w="795"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厅门及门套</w:t>
            </w:r>
            <w:r/>
          </w:p>
        </w:tc>
        <w:tc>
          <w:tcPr>
            <w:gridSpan w:val="2"/>
            <w:tcW w:w="938"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楼层召唤</w:t>
            </w:r>
            <w:r/>
          </w:p>
        </w:tc>
        <w:tc>
          <w:tcPr>
            <w:tcW w:w="814"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安装位置</w:t>
            </w:r>
            <w:r/>
          </w:p>
        </w:tc>
        <w:tc>
          <w:tcPr>
            <w:tcW w:w="1634"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层显与楼层召唤面板为一体式设置</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金属按钮带光亮显示，盲文按钮</w:t>
            </w:r>
            <w:r/>
          </w:p>
        </w:tc>
      </w:tr>
      <w:tr>
        <w:trPr>
          <w:jc w:val="center"/>
          <w:trHeight w:val="621"/>
          <w:tblHeader/>
        </w:trPr>
        <w:tc>
          <w:tcPr>
            <w:tcW w:w="818"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内外装饰要求</w:t>
            </w:r>
            <w:r/>
          </w:p>
        </w:tc>
        <w:tc>
          <w:tcPr>
            <w:tcW w:w="795"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厅门及门套</w:t>
            </w:r>
            <w:r/>
          </w:p>
        </w:tc>
        <w:tc>
          <w:tcPr>
            <w:gridSpan w:val="2"/>
            <w:tcW w:w="938"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地坎</w:t>
            </w:r>
            <w:r/>
          </w:p>
        </w:tc>
        <w:tc>
          <w:tcPr>
            <w:gridSpan w:val="2"/>
            <w:tcW w:w="2448"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硬质铝合金</w:t>
            </w:r>
            <w:r/>
          </w:p>
        </w:tc>
      </w:tr>
      <w:tr>
        <w:trPr>
          <w:jc w:val="center"/>
          <w:trHeight w:val="3778"/>
          <w:tblHeader/>
        </w:trPr>
        <w:tc>
          <w:tcPr>
            <w:tcW w:w="818" w:type="pct"/>
            <w:vAlign w:val="center"/>
            <w:textDirection w:val="lrTb"/>
            <w:noWrap w:val="false"/>
          </w:tcPr>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功能要求</w:t>
            </w:r>
            <w:r/>
          </w:p>
          <w:p>
            <w:pPr>
              <w:spacing w:line="400" w:lineRule="exact"/>
              <w:rPr>
                <w:rFonts w:hint="eastAsia" w:ascii="宋体" w:hAnsi="宋体" w:eastAsia="宋体" w:cs="宋体"/>
                <w:b/>
                <w:sz w:val="24"/>
                <w:szCs w:val="24"/>
              </w:rPr>
            </w:pPr>
            <w:r>
              <w:rPr>
                <w:rFonts w:hint="eastAsia" w:ascii="宋体" w:hAnsi="宋体" w:eastAsia="宋体" w:cs="宋体"/>
                <w:b/>
                <w:sz w:val="24"/>
                <w:szCs w:val="24"/>
              </w:rPr>
            </w:r>
            <w:r/>
          </w:p>
        </w:tc>
        <w:tc>
          <w:tcPr>
            <w:gridSpan w:val="5"/>
            <w:tcW w:w="4181" w:type="pct"/>
            <w:vAlign w:val="center"/>
            <w:textDirection w:val="lrTb"/>
            <w:noWrap w:val="false"/>
          </w:tcPr>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lang w:val="en-US" w:eastAsia="zh-CN"/>
              </w:rPr>
              <w:t xml:space="preserve">1.</w:t>
            </w:r>
            <w:r>
              <w:rPr>
                <w:rFonts w:hint="eastAsia" w:ascii="宋体" w:hAnsi="宋体" w:eastAsia="宋体" w:cs="宋体"/>
                <w:b/>
                <w:sz w:val="24"/>
                <w:szCs w:val="24"/>
              </w:rPr>
              <w:t xml:space="preserve">基本功能配置：（符合国家验收规范）</w:t>
            </w:r>
            <w:r/>
          </w:p>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最近楼层服务运转、不能开门时救出运转、超速电气保护、开门报警、超速机械保护、开门时间自动调整、故障电梯自动分离（联控、三台群控）、光幕、操作盘文字信息、故障自动检测、禁止反向运行登录 、轿厢照明、换气扇自动关闭、UCMP轿厢意外移动保护装置、闲暇自动检测运转、取消错误呼叫功能、基准层返回（单控、联控、三台群控）、内部安装五方通话全套设备（即电梯内部通话装置以及连接管理用房的所有管线和设备）、轿厢内视频监控功能（摄像监控装置以及连接监控中心的所有管线和设备，实现远程监控，所需电缆、管线及设备包含在内</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轿厢内原监控的拆除与恢复）</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故障自动存储、轿厢应急照明、门的异常检查装置、超载报警（蜂鸣器提示）、运行次数显示、位置异常自动校正、避难层返回信号输出、运行时间监测、电动机空转保护、启动补偿功能、电源相位故障监测、防捣乱功能、火灾管制运转、候梯厅信号文字、轿门防扒开装置、耐冲击层门系统、强制关门、层高自学习、警铃（轿顶）、自动再平层、专用运转、IC卡功能</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写卡器每个小区一套，每户不低于5张IC卡</w:t>
            </w:r>
            <w:r>
              <w:rPr>
                <w:rFonts w:hint="eastAsia" w:ascii="宋体" w:hAnsi="宋体" w:eastAsia="宋体" w:cs="宋体"/>
                <w:b/>
                <w:sz w:val="24"/>
                <w:szCs w:val="24"/>
                <w:lang w:eastAsia="zh-CN"/>
              </w:rPr>
              <w:t xml:space="preserve">）、阻车系统（防电动车进入电梯，系统需接入现有住宅管理平台）。</w:t>
            </w:r>
            <w:r>
              <w:rPr>
                <w:rFonts w:hint="eastAsia" w:ascii="宋体" w:hAnsi="宋体" w:eastAsia="宋体" w:cs="宋体"/>
                <w:b/>
                <w:sz w:val="24"/>
                <w:szCs w:val="24"/>
              </w:rPr>
              <w:t xml:space="preserve">除上述特别要求外电梯性能还应符合GB/T10058-2023《电梯技术条件》3.3条的基本要求。</w:t>
            </w:r>
            <w:r/>
          </w:p>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lang w:val="en-US" w:eastAsia="zh-CN"/>
              </w:rPr>
              <w:t xml:space="preserve">2.</w:t>
            </w:r>
            <w:r>
              <w:rPr>
                <w:rFonts w:hint="eastAsia" w:ascii="宋体" w:hAnsi="宋体" w:eastAsia="宋体" w:cs="宋体"/>
                <w:b/>
                <w:sz w:val="24"/>
                <w:szCs w:val="24"/>
              </w:rPr>
              <w:t xml:space="preserve">附加功能配置：由投标人自报，但均含在投标总价中。</w:t>
            </w:r>
            <w:r/>
          </w:p>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注：投标人所提供的货物技术规格应符合货物的技术规格及要求，如果投标人不能响应招标文件技术规格和要求的某项技术规格，投标人应在技术偏离表中说明偏离情况，如果投标人不提供技术偏离表说明偏离情况，则认为提供的货物完全符合本招标文件的要求。</w:t>
            </w:r>
            <w:r/>
          </w:p>
        </w:tc>
      </w:tr>
      <w:tr>
        <w:trPr>
          <w:jc w:val="center"/>
          <w:trHeight w:val="1748"/>
          <w:tblHeader/>
        </w:trPr>
        <w:tc>
          <w:tcPr>
            <w:tcW w:w="818" w:type="pct"/>
            <w:vAlign w:val="center"/>
            <w:textDirection w:val="lrTb"/>
            <w:noWrap w:val="false"/>
          </w:tcPr>
          <w:p>
            <w:pPr>
              <w:spacing w:line="400" w:lineRule="exact"/>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 xml:space="preserve">其他功能要求要求</w:t>
            </w:r>
            <w:r/>
          </w:p>
        </w:tc>
        <w:tc>
          <w:tcPr>
            <w:gridSpan w:val="5"/>
            <w:tcW w:w="4181" w:type="pct"/>
            <w:vAlign w:val="center"/>
            <w:textDirection w:val="lrTb"/>
            <w:noWrap w:val="false"/>
          </w:tcPr>
          <w:p>
            <w:pPr>
              <w:spacing w:line="400" w:lineRule="exact"/>
              <w:rPr>
                <w:rFonts w:hint="default" w:ascii="宋体" w:hAnsi="宋体" w:eastAsia="宋体" w:cs="宋体"/>
                <w:b/>
                <w:color w:val="auto"/>
                <w:sz w:val="24"/>
                <w:szCs w:val="24"/>
                <w:lang w:val="en-US" w:eastAsia="zh-CN"/>
              </w:rPr>
            </w:pPr>
            <w:r>
              <w:rPr>
                <w:rFonts w:hint="eastAsia" w:ascii="宋体" w:hAnsi="宋体" w:eastAsia="宋体" w:cs="宋体"/>
                <w:b/>
                <w:color w:val="auto"/>
                <w:sz w:val="24"/>
                <w:szCs w:val="24"/>
              </w:rPr>
              <w:t xml:space="preserve">▲电梯光幕的最大光束数≥</w:t>
            </w:r>
            <w:r>
              <w:rPr>
                <w:rFonts w:hint="eastAsia" w:ascii="宋体" w:hAnsi="宋体" w:eastAsia="宋体" w:cs="宋体"/>
                <w:b/>
                <w:color w:val="auto"/>
                <w:sz w:val="24"/>
                <w:szCs w:val="24"/>
                <w:lang w:val="en-US" w:eastAsia="zh-CN"/>
              </w:rPr>
              <w:t xml:space="preserve">190</w:t>
            </w:r>
            <w:r>
              <w:rPr>
                <w:rFonts w:hint="eastAsia" w:ascii="宋体" w:hAnsi="宋体" w:eastAsia="宋体" w:cs="宋体"/>
                <w:b/>
                <w:color w:val="auto"/>
                <w:sz w:val="24"/>
                <w:szCs w:val="24"/>
              </w:rPr>
              <w:t xml:space="preserve">束。</w:t>
            </w:r>
            <w:r>
              <w:rPr>
                <w:rFonts w:hint="eastAsia" w:ascii="宋体" w:hAnsi="宋体" w:eastAsia="宋体" w:cs="宋体"/>
                <w:b/>
                <w:color w:val="auto"/>
                <w:sz w:val="24"/>
                <w:szCs w:val="24"/>
                <w:lang w:eastAsia="zh-CN"/>
              </w:rPr>
              <w:t xml:space="preserve">（</w:t>
            </w:r>
            <w:r>
              <w:rPr>
                <w:rFonts w:hint="eastAsia" w:ascii="宋体" w:hAnsi="宋体" w:eastAsia="宋体" w:cs="宋体"/>
                <w:b/>
                <w:color w:val="auto"/>
                <w:sz w:val="24"/>
                <w:szCs w:val="24"/>
                <w:lang w:val="en-US" w:eastAsia="zh-CN"/>
              </w:rPr>
              <w:t xml:space="preserve">投标文件中需</w:t>
            </w:r>
            <w:r>
              <w:rPr>
                <w:rFonts w:hint="eastAsia" w:ascii="宋体" w:hAnsi="宋体" w:eastAsia="宋体" w:cs="宋体"/>
                <w:b/>
                <w:color w:val="auto"/>
                <w:sz w:val="24"/>
                <w:szCs w:val="24"/>
              </w:rPr>
              <w:t xml:space="preserve">提供第三方检测机构出具的检验报告</w:t>
            </w:r>
            <w:r>
              <w:rPr>
                <w:rFonts w:hint="eastAsia" w:ascii="宋体" w:hAnsi="宋体" w:eastAsia="宋体" w:cs="宋体"/>
                <w:b/>
                <w:color w:val="auto"/>
                <w:sz w:val="24"/>
                <w:szCs w:val="24"/>
                <w:lang w:val="en-US" w:eastAsia="zh-CN"/>
              </w:rPr>
              <w:t xml:space="preserve">原件扫描件</w:t>
            </w:r>
            <w:r>
              <w:rPr>
                <w:rFonts w:hint="eastAsia" w:ascii="宋体" w:hAnsi="宋体" w:eastAsia="宋体" w:cs="宋体"/>
                <w:b/>
                <w:color w:val="auto"/>
                <w:sz w:val="24"/>
                <w:szCs w:val="24"/>
                <w:lang w:eastAsia="zh-CN"/>
              </w:rPr>
              <w:t xml:space="preserve">）</w:t>
            </w:r>
            <w:r/>
          </w:p>
        </w:tc>
      </w:tr>
    </w:tbl>
    <w:p>
      <w:pPr>
        <w:ind w:firstLine="472"/>
        <w:jc w:val="both"/>
        <w:spacing w:line="360" w:lineRule="auto"/>
        <w:widowControl w:val="off"/>
        <w:tabs>
          <w:tab w:val="left" w:pos="6840" w:leader="none"/>
        </w:tabs>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注：门套完好无损的，经采购人认可，可不进行更换。</w:t>
      </w:r>
      <w:r/>
    </w:p>
    <w:p>
      <w:pPr>
        <w:ind w:firstLine="472"/>
        <w:jc w:val="both"/>
        <w:spacing w:line="360" w:lineRule="auto"/>
        <w:widowControl w:val="off"/>
        <w:tabs>
          <w:tab w:val="left" w:pos="6840" w:leader="none"/>
        </w:tabs>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（三）旧梯拆除、安装、调试</w:t>
      </w:r>
      <w:r/>
    </w:p>
    <w:p>
      <w:pPr>
        <w:ind w:firstLine="420"/>
        <w:jc w:val="both"/>
        <w:spacing w:line="360" w:lineRule="auto"/>
        <w:widowControl w:val="off"/>
        <w:tabs>
          <w:tab w:val="left" w:pos="6840" w:leader="none"/>
        </w:tabs>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color w:val="auto"/>
          <w:sz w:val="24"/>
          <w:szCs w:val="24"/>
          <w:highlight w:val="none"/>
          <w:lang w:val="en-US" w:eastAsia="zh-CN" w:bidi="ar-SA"/>
        </w:rPr>
        <w:t xml:space="preserve">本次所采购电梯由中标人负责合同设备的采购、安装、调试、报验直至领取运行许可的所有证照，期间发生的一切费用由中标人负责。</w:t>
      </w:r>
      <w:r>
        <w:rPr>
          <w:rFonts w:hint="eastAsia" w:ascii="宋体" w:hAnsi="宋体" w:eastAsia="宋体" w:cs="宋体"/>
          <w:b/>
          <w:bCs/>
          <w:color w:val="auto"/>
          <w:sz w:val="24"/>
          <w:szCs w:val="24"/>
          <w:highlight w:val="none"/>
          <w:lang w:val="en-US" w:eastAsia="zh-CN" w:bidi="ar-SA"/>
        </w:rPr>
        <w:t xml:space="preserve">旧电梯由中标人负责拆除，残值用于旧梯拆除费用和井道整改。（明细报价中注明残值抵扣费用，未注明残值抵扣费用的做无效标处理）</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2.在安装、调试过程中采购人提供水和电源，费用由投标人自理。货物到达现场后卸货所需的起重设备、辅助设备及货物现场保管安装调试所需的一切费用由投标人负责。</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3.在安装调试过程中，允许采购单位人员参与。设备在此过程中的损坏由投标人负责。</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4.安装要求：</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4.1 应具有建设主管部门颁发的电梯安装资质证书和地方政府的许可证。</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4.2 安装队伍概况说明，拟参加安装人员技术证书和工作证及其安装业绩表。</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4.3 电梯的安装标准将执行最新的国家标准。</w:t>
      </w:r>
      <w:r/>
    </w:p>
    <w:p>
      <w:pPr>
        <w:ind w:firstLine="241"/>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（四）机房改造</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1.电梯机房内部楼面、墙面、顶棚、屋面如有损坏的需要进行维修出新。</w:t>
      </w:r>
      <w:r/>
    </w:p>
    <w:p>
      <w:pPr>
        <w:ind w:firstLine="482"/>
        <w:spacing w:line="400" w:lineRule="exact"/>
        <w:rPr>
          <w:rFonts w:hint="default"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2.机房屋面如有漏水的，需要进行防水处理。</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3.电梯机房防火门更换:原电梯机房门更换为乙级防火门，尺寸根据现有门洞尺寸。</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4.电梯机房百叶窗更换:原有电梯机房内的金属防雨百叶更换，防虫网更换。</w:t>
      </w:r>
      <w:r/>
    </w:p>
    <w:p>
      <w:pPr>
        <w:ind w:firstLine="482"/>
        <w:spacing w:line="400" w:lineRule="exact"/>
        <w:rPr>
          <w:rFonts w:hint="eastAsia" w:ascii="黑体" w:hAnsi="黑体" w:eastAsia="黑体" w:cs="黑体"/>
          <w:b/>
          <w:color w:val="auto"/>
          <w:sz w:val="24"/>
          <w:szCs w:val="24"/>
          <w:lang w:val="en-US" w:eastAsia="zh-CN"/>
        </w:rPr>
      </w:pPr>
      <w:r>
        <w:rPr>
          <w:rFonts w:hint="eastAsia" w:ascii="黑体" w:hAnsi="黑体" w:eastAsia="黑体" w:cs="黑体"/>
          <w:b/>
          <w:sz w:val="24"/>
          <w:szCs w:val="24"/>
          <w:lang w:val="en-US" w:eastAsia="zh-CN"/>
        </w:rPr>
        <w:t xml:space="preserve">5.电梯机房门口增加挡水坎:机房门后加</w:t>
      </w:r>
      <w:r>
        <w:rPr>
          <w:rFonts w:hint="eastAsia" w:ascii="黑体" w:hAnsi="黑体" w:eastAsia="黑体" w:cs="黑体"/>
          <w:b/>
          <w:color w:val="auto"/>
          <w:sz w:val="24"/>
          <w:szCs w:val="24"/>
          <w:lang w:val="en-US" w:eastAsia="zh-CN"/>
        </w:rPr>
        <w:t xml:space="preserve">300</w:t>
      </w:r>
      <w:r>
        <w:rPr>
          <w:rFonts w:hint="eastAsia" w:ascii="黑体" w:hAnsi="黑体" w:eastAsia="黑体" w:cs="黑体"/>
          <w:b/>
          <w:bCs/>
          <w:color w:val="auto"/>
          <w:spacing w:val="5"/>
          <w:sz w:val="24"/>
          <w:szCs w:val="24"/>
          <w:lang w:val="en-US" w:eastAsia="zh-CN"/>
        </w:rPr>
        <w:t xml:space="preserve">mm</w:t>
      </w:r>
      <w:r>
        <w:rPr>
          <w:rFonts w:ascii="黑体" w:hAnsi="黑体" w:eastAsia="黑体" w:cs="黑体"/>
          <w:color w:val="auto"/>
          <w:spacing w:val="-32"/>
          <w:sz w:val="24"/>
          <w:szCs w:val="24"/>
        </w:rPr>
        <w:t xml:space="preserve"> </w:t>
      </w:r>
      <w:r>
        <w:rPr>
          <w:rFonts w:hint="eastAsia" w:ascii="黑体" w:hAnsi="黑体" w:eastAsia="黑体" w:cs="黑体"/>
          <w:b/>
          <w:color w:val="auto"/>
          <w:sz w:val="24"/>
          <w:szCs w:val="24"/>
          <w:lang w:val="en-US" w:eastAsia="zh-CN"/>
        </w:rPr>
        <w:t xml:space="preserve">高100</w:t>
      </w:r>
      <w:r>
        <w:rPr>
          <w:rFonts w:hint="eastAsia" w:ascii="黑体" w:hAnsi="黑体" w:eastAsia="黑体" w:cs="黑体"/>
          <w:b/>
          <w:bCs/>
          <w:color w:val="auto"/>
          <w:spacing w:val="5"/>
          <w:sz w:val="24"/>
          <w:szCs w:val="24"/>
          <w:lang w:val="en-US" w:eastAsia="zh-CN"/>
        </w:rPr>
        <w:t xml:space="preserve">mm</w:t>
      </w:r>
      <w:r>
        <w:rPr>
          <w:rFonts w:ascii="黑体" w:hAnsi="黑体" w:eastAsia="黑体" w:cs="黑体"/>
          <w:color w:val="auto"/>
          <w:spacing w:val="-32"/>
          <w:sz w:val="24"/>
          <w:szCs w:val="24"/>
        </w:rPr>
        <w:t xml:space="preserve"> </w:t>
      </w:r>
      <w:r>
        <w:rPr>
          <w:rFonts w:hint="eastAsia" w:ascii="黑体" w:hAnsi="黑体" w:eastAsia="黑体" w:cs="黑体"/>
          <w:b/>
          <w:color w:val="auto"/>
          <w:sz w:val="24"/>
          <w:szCs w:val="24"/>
          <w:lang w:val="en-US" w:eastAsia="zh-CN"/>
        </w:rPr>
        <w:t xml:space="preserve">宽细石混凝土挡水坎，并刷1.5Mm厚聚氨酯防水涂料。</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6.机房内墙脱落部分须重新粉刷。</w:t>
      </w:r>
      <w:r/>
    </w:p>
    <w:p>
      <w:pPr>
        <w:ind w:firstLine="241"/>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（五）其它要求</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1. 投标人需对所投产品做详细的技术描述。</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2. 主要零部件必须如实标明产地。</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3. 投标人对中标货物及服务在质保期内的售后服务要有具体内容及承诺。</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4.质保期满后的售后服务</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4.1投标人对中标货物及服务在质保期满后，采购方不委托中标方维保的情况下，中标方要列出售后服务具体内容及承诺。</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4.2分别列出投标人对中标货物质保期满后，在采购方要求的时间内，维保清包、大包的范围、内容、价格及承诺。</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（六）有关说明</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1.建筑尺寸、数据：投标人应踏勘现场校核上述尺寸，自行报价。投标人在投标文件中应提供详细的供货范围清单。</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2. 文件、资料的提供：投标人在投标文件中，应提供设备制造商、电梯安装、维保的相关资质证书。本次投标设备安装、调试、质量监督及其他服务人员的配备情况，包括人员姓名、年龄、履历以及从事本专业的工龄、职称、级别及参加类似项目的经验情况，在本项目中承担的具体任务等。</w:t>
      </w:r>
      <w:r/>
    </w:p>
    <w:p>
      <w:pPr>
        <w:ind w:firstLine="482"/>
        <w:spacing w:line="400" w:lineRule="exact"/>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 xml:space="preserve">3.门锁、安全钳、限速器、缓冲器等重要安全部件、必须具有型式试验合格证书。</w:t>
      </w:r>
      <w:r/>
    </w:p>
    <w:p>
      <w:pPr>
        <w:ind w:firstLine="482"/>
        <w:spacing w:line="400" w:lineRule="exact"/>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 xml:space="preserve">4.投标人在投标文件中提供投标设备及其安装、维保单位的相关业绩以及售后服务机构和人员情况。</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5.投标人在投标文件中应提供投标文件与招标文件的技术及商务条款偏差表，如与招标文件无偏差，也应说明。</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6.中标人在设备交货时，应向采购人提供设备、材料的装箱清单、使用说明书、操作规程、保养、维护所必须的资料。所提供资料的语言文字必须是中文。</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7.中标人在设备交货时应向采购人提供设备出厂前各项测试报告和产品合格证书。</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8.我国实行生产许可证、准入证制度的产品，必须是获得我国具备资质的单位批准认可的产品，投标人应随同投标文件提供有关证明文件。</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9.投标人应保证，如能中标，采购人在其本国使用中标设备时，免受第三方提出的侵犯其专利权、商标权或工业设计权的起诉。</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10 .电梯的日常维护、保养时间，双方协商，但中标方应服从采购方的安排。</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11.中标方供给采购人的设备、材料及中标方自己的施工用具，进入项目现场后的保管，由中标方负责。中标方在现场安装、调试、验收人员的安全、保险、食宿、交通，由中标方负责。</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12.需采购方配合的工作：投标人应在投标文件中说明，如能中标，在安装、调试、验收过程中需采购方配合的工作和需采购方提供的条件。</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13.投标人必须到现场踏勘以充分了解项目位置、情况、道路、储存空间、机房、井道现有尺寸、装卸限制及任何其它足以影响报价的情况等。开门尺寸、井道尺寸、底坑深度、每层高度以现场实际测量为准，充分考虑电梯井道、机房等改造使之满足安装要求等相关费用，并计入投标报价，采购人不负担因投标人对原井道情况考虑不周而产生的其他任何费用。中标后任何因忽视或误解现场情况而导致的索赔申请将不被批准。</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14.电梯验收合格后，2个月内提供三套完整的电梯验收存档资料，逾期支付采购人1000元/天违约金。</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15.中标项目负责人须全过程参与电梯安装、调试、验收等工作，无故未请假私自离开工地现场处以500元/天违约金，该违约金直接从合同款中扣除。</w:t>
      </w:r>
      <w:r/>
    </w:p>
    <w:p>
      <w:pPr>
        <w:ind w:firstLine="482"/>
        <w:jc w:val="both"/>
        <w:spacing w:line="360" w:lineRule="auto"/>
        <w:widowControl w:val="off"/>
        <w:tabs>
          <w:tab w:val="left" w:pos="1008" w:leader="none"/>
        </w:tabs>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（七）技术文件要求</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1. 投标人必须按规定要求提供投标货物的详细技术资料，以方便采购人评标、定标。投标人提交的技术文件及产品样本必须是“原件扫描件”而不是“复印件”，并且所提供的产品样本必须同货物相一致，其中包括货物的主要性能、技术参数、结构特点、适用范围等，所提供的参考资料应尽可能全面详细。</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2.投标人应按每台/套设备给采购人提供一套完整的资料并随货物包装发运，其中包括设备安装前对安装环境的要求、操作手册、应用指南和服务。安装说明及示意图，产品合格证、使用说明书、装箱单、进口设备或者进口部件的原产地证明书、商检证明书等。</w:t>
      </w:r>
      <w:r/>
    </w:p>
    <w:p>
      <w:pPr>
        <w:ind w:firstLine="482"/>
        <w:jc w:val="both"/>
        <w:spacing w:line="360" w:lineRule="auto"/>
        <w:widowControl w:val="off"/>
        <w:tabs>
          <w:tab w:val="left" w:pos="6840" w:leader="none"/>
        </w:tabs>
        <w:rPr>
          <w:rFonts w:hint="eastAsia" w:ascii="宋体" w:hAnsi="宋体" w:eastAsia="宋体" w:cs="Times New Roman"/>
          <w:b/>
          <w:sz w:val="24"/>
          <w:szCs w:val="24"/>
          <w:highlight w:val="none"/>
          <w:lang w:val="en-US" w:eastAsia="zh-CN" w:bidi="ar-SA"/>
        </w:rPr>
      </w:pPr>
      <w:r>
        <w:rPr>
          <w:rFonts w:hint="eastAsia" w:ascii="宋体" w:hAnsi="宋体" w:eastAsia="宋体" w:cs="Times New Roman"/>
          <w:b/>
          <w:sz w:val="24"/>
          <w:szCs w:val="24"/>
          <w:highlight w:val="none"/>
          <w:lang w:val="en-US" w:eastAsia="zh-CN" w:bidi="ar-SA"/>
        </w:rPr>
        <w:t xml:space="preserve">（八）</w:t>
      </w:r>
      <w:r>
        <w:rPr>
          <w:rFonts w:hint="eastAsia" w:ascii="宋体" w:hAnsi="宋体" w:eastAsia="宋体" w:cs="Times New Roman"/>
          <w:b/>
          <w:bCs/>
          <w:sz w:val="24"/>
          <w:szCs w:val="24"/>
          <w:highlight w:val="none"/>
          <w:lang w:val="en-US" w:eastAsia="zh-CN" w:bidi="ar-SA"/>
        </w:rPr>
        <w:t xml:space="preserve">电梯应符合的技术标准要求</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1.投标人所提供货物的设计、制造、产品性能、材料的选择和材料的检验、产品的测试等，都应按照国内外通行的现行标准和相应的技术规范执行。而这些标准和技术规范应为合同签字日为止最新公布发行的标准和技术规范。本技术规格书中使用的标准如下：</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w:t>
      </w:r>
      <w:r>
        <w:rPr>
          <w:rFonts w:hint="default" w:ascii="宋体" w:hAnsi="宋体" w:eastAsia="宋体" w:cs="宋体"/>
          <w:b/>
          <w:sz w:val="24"/>
          <w:szCs w:val="24"/>
          <w:lang w:val="en-US" w:eastAsia="zh-CN"/>
        </w:rPr>
        <w:t xml:space="preserve">1</w:t>
      </w:r>
      <w:r>
        <w:rPr>
          <w:rFonts w:hint="eastAsia" w:ascii="宋体" w:hAnsi="宋体" w:eastAsia="宋体" w:cs="宋体"/>
          <w:b/>
          <w:sz w:val="24"/>
          <w:szCs w:val="24"/>
          <w:lang w:val="en-US" w:eastAsia="zh-CN"/>
        </w:rPr>
        <w:t xml:space="preserve">）《电梯技术条件》</w:t>
      </w:r>
      <w:r>
        <w:rPr>
          <w:rFonts w:hint="default" w:ascii="宋体" w:hAnsi="宋体" w:eastAsia="宋体" w:cs="宋体"/>
          <w:b/>
          <w:sz w:val="24"/>
          <w:szCs w:val="24"/>
          <w:lang w:val="en-US" w:eastAsia="zh-CN"/>
        </w:rPr>
        <w:t xml:space="preserve">GB/T10058-</w:t>
      </w:r>
      <w:r>
        <w:rPr>
          <w:rFonts w:hint="eastAsia" w:ascii="宋体" w:hAnsi="宋体" w:eastAsia="宋体" w:cs="宋体"/>
          <w:b/>
          <w:sz w:val="24"/>
          <w:szCs w:val="24"/>
          <w:lang w:val="en-US" w:eastAsia="zh-CN"/>
        </w:rPr>
        <w:t xml:space="preserve">2023</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w:t>
      </w:r>
      <w:r>
        <w:rPr>
          <w:rFonts w:hint="default" w:ascii="宋体" w:hAnsi="宋体" w:eastAsia="宋体" w:cs="宋体"/>
          <w:b/>
          <w:sz w:val="24"/>
          <w:szCs w:val="24"/>
          <w:lang w:val="en-US" w:eastAsia="zh-CN"/>
        </w:rPr>
        <w:t xml:space="preserve">2</w:t>
      </w:r>
      <w:r>
        <w:rPr>
          <w:rFonts w:hint="eastAsia" w:ascii="宋体" w:hAnsi="宋体" w:eastAsia="宋体" w:cs="宋体"/>
          <w:b/>
          <w:sz w:val="24"/>
          <w:szCs w:val="24"/>
          <w:lang w:val="en-US" w:eastAsia="zh-CN"/>
        </w:rPr>
        <w:t xml:space="preserve">）《电梯制造与安装安全规范》</w:t>
      </w:r>
      <w:r>
        <w:rPr>
          <w:rFonts w:hint="default" w:ascii="宋体" w:hAnsi="宋体" w:eastAsia="宋体" w:cs="宋体"/>
          <w:b/>
          <w:sz w:val="24"/>
          <w:szCs w:val="24"/>
          <w:lang w:val="en-US" w:eastAsia="zh-CN"/>
        </w:rPr>
        <w:t xml:space="preserve">GB7588-20</w:t>
      </w:r>
      <w:r>
        <w:rPr>
          <w:rFonts w:hint="eastAsia" w:ascii="宋体" w:hAnsi="宋体" w:eastAsia="宋体" w:cs="宋体"/>
          <w:b/>
          <w:sz w:val="24"/>
          <w:szCs w:val="24"/>
          <w:lang w:val="en-US" w:eastAsia="zh-CN"/>
        </w:rPr>
        <w:t xml:space="preserve">2</w:t>
      </w:r>
      <w:r>
        <w:rPr>
          <w:rFonts w:hint="default" w:ascii="宋体" w:hAnsi="宋体" w:eastAsia="宋体" w:cs="宋体"/>
          <w:b/>
          <w:sz w:val="24"/>
          <w:szCs w:val="24"/>
          <w:lang w:val="en-US" w:eastAsia="zh-CN"/>
        </w:rPr>
        <w:t xml:space="preserve">3</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w:t>
      </w:r>
      <w:r>
        <w:rPr>
          <w:rFonts w:hint="default" w:ascii="宋体" w:hAnsi="宋体" w:eastAsia="宋体" w:cs="宋体"/>
          <w:b/>
          <w:sz w:val="24"/>
          <w:szCs w:val="24"/>
          <w:lang w:val="en-US" w:eastAsia="zh-CN"/>
        </w:rPr>
        <w:t xml:space="preserve">3</w:t>
      </w:r>
      <w:r>
        <w:rPr>
          <w:rFonts w:hint="eastAsia" w:ascii="宋体" w:hAnsi="宋体" w:eastAsia="宋体" w:cs="宋体"/>
          <w:b/>
          <w:sz w:val="24"/>
          <w:szCs w:val="24"/>
          <w:lang w:val="en-US" w:eastAsia="zh-CN"/>
        </w:rPr>
        <w:t xml:space="preserve">）《电梯试验方法》</w:t>
      </w:r>
      <w:r>
        <w:rPr>
          <w:rFonts w:hint="default" w:ascii="宋体" w:hAnsi="宋体" w:eastAsia="宋体" w:cs="宋体"/>
          <w:b/>
          <w:sz w:val="24"/>
          <w:szCs w:val="24"/>
          <w:lang w:val="en-US" w:eastAsia="zh-CN"/>
        </w:rPr>
        <w:t xml:space="preserve">GB/T10059-</w:t>
      </w:r>
      <w:r>
        <w:rPr>
          <w:rFonts w:hint="eastAsia" w:ascii="宋体" w:hAnsi="宋体" w:eastAsia="宋体" w:cs="宋体"/>
          <w:b/>
          <w:sz w:val="24"/>
          <w:szCs w:val="24"/>
          <w:lang w:val="en-US" w:eastAsia="zh-CN"/>
        </w:rPr>
        <w:t xml:space="preserve">2023</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w:t>
      </w:r>
      <w:r>
        <w:rPr>
          <w:rFonts w:hint="default" w:ascii="宋体" w:hAnsi="宋体" w:eastAsia="宋体" w:cs="宋体"/>
          <w:b/>
          <w:sz w:val="24"/>
          <w:szCs w:val="24"/>
          <w:lang w:val="en-US" w:eastAsia="zh-CN"/>
        </w:rPr>
        <w:t xml:space="preserve">4</w:t>
      </w:r>
      <w:r>
        <w:rPr>
          <w:rFonts w:hint="eastAsia" w:ascii="宋体" w:hAnsi="宋体" w:eastAsia="宋体" w:cs="宋体"/>
          <w:b/>
          <w:sz w:val="24"/>
          <w:szCs w:val="24"/>
          <w:lang w:val="en-US" w:eastAsia="zh-CN"/>
        </w:rPr>
        <w:t xml:space="preserve">）《电梯主要参数及轿厢、井道、机房的形式及尺寸》</w:t>
      </w:r>
      <w:r>
        <w:rPr>
          <w:rFonts w:hint="default" w:ascii="宋体" w:hAnsi="宋体" w:eastAsia="宋体" w:cs="宋体"/>
          <w:b/>
          <w:sz w:val="24"/>
          <w:szCs w:val="24"/>
          <w:lang w:val="en-US" w:eastAsia="zh-CN"/>
        </w:rPr>
        <w:t xml:space="preserve">GB/T 7025.2-20</w:t>
      </w:r>
      <w:r>
        <w:rPr>
          <w:rFonts w:hint="eastAsia" w:ascii="宋体" w:hAnsi="宋体" w:eastAsia="宋体" w:cs="宋体"/>
          <w:b/>
          <w:sz w:val="24"/>
          <w:szCs w:val="24"/>
          <w:lang w:val="en-US" w:eastAsia="zh-CN"/>
        </w:rPr>
        <w:t xml:space="preserve">23</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w:t>
      </w:r>
      <w:r>
        <w:rPr>
          <w:rFonts w:hint="default" w:ascii="宋体" w:hAnsi="宋体" w:eastAsia="宋体" w:cs="宋体"/>
          <w:b/>
          <w:sz w:val="24"/>
          <w:szCs w:val="24"/>
          <w:lang w:val="en-US" w:eastAsia="zh-CN"/>
        </w:rPr>
        <w:t xml:space="preserve">5</w:t>
      </w:r>
      <w:r>
        <w:rPr>
          <w:rFonts w:hint="eastAsia" w:ascii="宋体" w:hAnsi="宋体" w:eastAsia="宋体" w:cs="宋体"/>
          <w:b/>
          <w:sz w:val="24"/>
          <w:szCs w:val="24"/>
          <w:lang w:val="en-US" w:eastAsia="zh-CN"/>
        </w:rPr>
        <w:t xml:space="preserve">）《电梯安装验收规范》</w:t>
      </w:r>
      <w:r>
        <w:rPr>
          <w:rFonts w:hint="default" w:ascii="宋体" w:hAnsi="宋体" w:eastAsia="宋体" w:cs="宋体"/>
          <w:b/>
          <w:sz w:val="24"/>
          <w:szCs w:val="24"/>
          <w:lang w:val="en-US" w:eastAsia="zh-CN"/>
        </w:rPr>
        <w:t xml:space="preserve">GB10060-</w:t>
      </w:r>
      <w:r>
        <w:rPr>
          <w:rFonts w:hint="eastAsia" w:ascii="宋体" w:hAnsi="宋体" w:eastAsia="宋体" w:cs="宋体"/>
          <w:b/>
          <w:sz w:val="24"/>
          <w:szCs w:val="24"/>
          <w:lang w:val="en-US" w:eastAsia="zh-CN"/>
        </w:rPr>
        <w:t xml:space="preserve">2023</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w:t>
      </w:r>
      <w:r>
        <w:rPr>
          <w:rFonts w:hint="default" w:ascii="宋体" w:hAnsi="宋体" w:eastAsia="宋体" w:cs="宋体"/>
          <w:b/>
          <w:sz w:val="24"/>
          <w:szCs w:val="24"/>
          <w:lang w:val="en-US" w:eastAsia="zh-CN"/>
        </w:rPr>
        <w:t xml:space="preserve">6</w:t>
      </w:r>
      <w:r>
        <w:rPr>
          <w:rFonts w:hint="eastAsia" w:ascii="宋体" w:hAnsi="宋体" w:eastAsia="宋体" w:cs="宋体"/>
          <w:b/>
          <w:sz w:val="24"/>
          <w:szCs w:val="24"/>
          <w:lang w:val="en-US" w:eastAsia="zh-CN"/>
        </w:rPr>
        <w:t xml:space="preserve">）《电梯工程施工质量验收规范》</w:t>
      </w:r>
      <w:r>
        <w:rPr>
          <w:rFonts w:hint="default" w:ascii="宋体" w:hAnsi="宋体" w:eastAsia="宋体" w:cs="宋体"/>
          <w:b/>
          <w:sz w:val="24"/>
          <w:szCs w:val="24"/>
          <w:lang w:val="en-US" w:eastAsia="zh-CN"/>
        </w:rPr>
        <w:t xml:space="preserve">GB50310-2</w:t>
      </w:r>
      <w:r>
        <w:rPr>
          <w:rFonts w:hint="eastAsia" w:ascii="宋体" w:hAnsi="宋体" w:eastAsia="宋体" w:cs="宋体"/>
          <w:b/>
          <w:sz w:val="24"/>
          <w:szCs w:val="24"/>
          <w:lang w:val="en-US" w:eastAsia="zh-CN"/>
        </w:rPr>
        <w:t xml:space="preserve">017</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w:t>
      </w:r>
      <w:r>
        <w:rPr>
          <w:rFonts w:hint="default" w:ascii="宋体" w:hAnsi="宋体" w:eastAsia="宋体" w:cs="宋体"/>
          <w:b/>
          <w:sz w:val="24"/>
          <w:szCs w:val="24"/>
          <w:lang w:val="en-US" w:eastAsia="zh-CN"/>
        </w:rPr>
        <w:t xml:space="preserve">7</w:t>
      </w:r>
      <w:r>
        <w:rPr>
          <w:rFonts w:hint="eastAsia" w:ascii="宋体" w:hAnsi="宋体" w:eastAsia="宋体" w:cs="宋体"/>
          <w:b/>
          <w:sz w:val="24"/>
          <w:szCs w:val="24"/>
          <w:lang w:val="en-US" w:eastAsia="zh-CN"/>
        </w:rPr>
        <w:t xml:space="preserve">）《电梯用钢丝》</w:t>
      </w:r>
      <w:r>
        <w:rPr>
          <w:rFonts w:hint="default" w:ascii="宋体" w:hAnsi="宋体" w:eastAsia="宋体" w:cs="宋体"/>
          <w:b/>
          <w:sz w:val="24"/>
          <w:szCs w:val="24"/>
          <w:lang w:val="en-US" w:eastAsia="zh-CN"/>
        </w:rPr>
        <w:t xml:space="preserve">GB8903-</w:t>
      </w:r>
      <w:r>
        <w:rPr>
          <w:rFonts w:hint="eastAsia" w:ascii="宋体" w:hAnsi="宋体" w:eastAsia="宋体" w:cs="宋体"/>
          <w:b/>
          <w:sz w:val="24"/>
          <w:szCs w:val="24"/>
          <w:lang w:val="en-US" w:eastAsia="zh-CN"/>
        </w:rPr>
        <w:t xml:space="preserve">2024</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w:t>
      </w:r>
      <w:r>
        <w:rPr>
          <w:rFonts w:hint="default" w:ascii="宋体" w:hAnsi="宋体" w:eastAsia="宋体" w:cs="宋体"/>
          <w:b/>
          <w:sz w:val="24"/>
          <w:szCs w:val="24"/>
          <w:lang w:val="en-US" w:eastAsia="zh-CN"/>
        </w:rPr>
        <w:t xml:space="preserve">8</w:t>
      </w:r>
      <w:r>
        <w:rPr>
          <w:rFonts w:hint="eastAsia" w:ascii="宋体" w:hAnsi="宋体" w:eastAsia="宋体" w:cs="宋体"/>
          <w:b/>
          <w:sz w:val="24"/>
          <w:szCs w:val="24"/>
          <w:lang w:val="en-US" w:eastAsia="zh-CN"/>
        </w:rPr>
        <w:t xml:space="preserve">）《电梯曳引机》</w:t>
      </w:r>
      <w:r>
        <w:rPr>
          <w:rFonts w:hint="default" w:ascii="宋体" w:hAnsi="宋体" w:eastAsia="宋体" w:cs="宋体"/>
          <w:b/>
          <w:sz w:val="24"/>
          <w:szCs w:val="24"/>
          <w:lang w:val="en-US" w:eastAsia="zh-CN"/>
        </w:rPr>
        <w:t xml:space="preserve">GB/T13435-</w:t>
      </w:r>
      <w:r>
        <w:rPr>
          <w:rFonts w:hint="eastAsia" w:ascii="宋体" w:hAnsi="宋体" w:eastAsia="宋体" w:cs="宋体"/>
          <w:b/>
          <w:sz w:val="24"/>
          <w:szCs w:val="24"/>
          <w:lang w:val="en-US" w:eastAsia="zh-CN"/>
        </w:rPr>
        <w:t xml:space="preserve">2023</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w:t>
      </w:r>
      <w:r>
        <w:rPr>
          <w:rFonts w:hint="default" w:ascii="宋体" w:hAnsi="宋体" w:eastAsia="宋体" w:cs="宋体"/>
          <w:b/>
          <w:sz w:val="24"/>
          <w:szCs w:val="24"/>
          <w:lang w:val="en-US" w:eastAsia="zh-CN"/>
        </w:rPr>
        <w:t xml:space="preserve">9</w:t>
      </w:r>
      <w:r>
        <w:rPr>
          <w:rFonts w:hint="eastAsia" w:ascii="宋体" w:hAnsi="宋体" w:eastAsia="宋体" w:cs="宋体"/>
          <w:b/>
          <w:sz w:val="24"/>
          <w:szCs w:val="24"/>
          <w:lang w:val="en-US" w:eastAsia="zh-CN"/>
        </w:rPr>
        <w:t xml:space="preserve">）《交流电梯电动机通用技术条件》</w:t>
      </w:r>
      <w:r>
        <w:rPr>
          <w:rFonts w:hint="default" w:ascii="宋体" w:hAnsi="宋体" w:eastAsia="宋体" w:cs="宋体"/>
          <w:b/>
          <w:sz w:val="24"/>
          <w:szCs w:val="24"/>
          <w:lang w:val="en-US" w:eastAsia="zh-CN"/>
        </w:rPr>
        <w:t xml:space="preserve">GB/T12974-</w:t>
      </w:r>
      <w:r>
        <w:rPr>
          <w:rFonts w:hint="eastAsia" w:ascii="宋体" w:hAnsi="宋体" w:eastAsia="宋体" w:cs="宋体"/>
          <w:b/>
          <w:sz w:val="24"/>
          <w:szCs w:val="24"/>
          <w:lang w:val="en-US" w:eastAsia="zh-CN"/>
        </w:rPr>
        <w:t xml:space="preserve">2023</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w:t>
      </w:r>
      <w:r>
        <w:rPr>
          <w:rFonts w:hint="default" w:ascii="宋体" w:hAnsi="宋体" w:eastAsia="宋体" w:cs="宋体"/>
          <w:b/>
          <w:sz w:val="24"/>
          <w:szCs w:val="24"/>
          <w:lang w:val="en-US" w:eastAsia="zh-CN"/>
        </w:rPr>
        <w:t xml:space="preserve">10</w:t>
      </w:r>
      <w:r>
        <w:rPr>
          <w:rFonts w:hint="eastAsia" w:ascii="宋体" w:hAnsi="宋体" w:eastAsia="宋体" w:cs="宋体"/>
          <w:b/>
          <w:sz w:val="24"/>
          <w:szCs w:val="24"/>
          <w:lang w:val="en-US" w:eastAsia="zh-CN"/>
        </w:rPr>
        <w:t xml:space="preserve">）《电梯层门耐火试验方法》</w:t>
      </w:r>
      <w:r>
        <w:rPr>
          <w:rFonts w:hint="default" w:ascii="宋体" w:hAnsi="宋体" w:eastAsia="宋体" w:cs="宋体"/>
          <w:b/>
          <w:sz w:val="24"/>
          <w:szCs w:val="24"/>
          <w:lang w:val="en-US" w:eastAsia="zh-CN"/>
        </w:rPr>
        <w:t xml:space="preserve">GA109-</w:t>
      </w:r>
      <w:r>
        <w:rPr>
          <w:rFonts w:hint="eastAsia" w:ascii="宋体" w:hAnsi="宋体" w:eastAsia="宋体" w:cs="宋体"/>
          <w:b/>
          <w:sz w:val="24"/>
          <w:szCs w:val="24"/>
          <w:lang w:val="en-US" w:eastAsia="zh-CN"/>
        </w:rPr>
        <w:t xml:space="preserve">2011</w:t>
      </w:r>
      <w:r/>
    </w:p>
    <w:p>
      <w:pPr>
        <w:ind w:firstLine="482"/>
        <w:spacing w:line="400" w:lineRule="exact"/>
        <w:rPr>
          <w:rFonts w:hint="default"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w:t>
      </w:r>
      <w:r>
        <w:rPr>
          <w:rFonts w:hint="default" w:ascii="宋体" w:hAnsi="宋体" w:eastAsia="宋体" w:cs="宋体"/>
          <w:b/>
          <w:sz w:val="24"/>
          <w:szCs w:val="24"/>
          <w:lang w:val="en-US" w:eastAsia="zh-CN"/>
        </w:rPr>
        <w:t xml:space="preserve">11</w:t>
      </w:r>
      <w:r>
        <w:rPr>
          <w:rFonts w:hint="eastAsia" w:ascii="宋体" w:hAnsi="宋体" w:eastAsia="宋体" w:cs="宋体"/>
          <w:b/>
          <w:sz w:val="24"/>
          <w:szCs w:val="24"/>
          <w:lang w:val="en-US" w:eastAsia="zh-CN"/>
        </w:rPr>
        <w:t xml:space="preserve">）《电梯操作装置、信号和附件》（</w:t>
      </w:r>
      <w:r>
        <w:rPr>
          <w:rFonts w:hint="default" w:ascii="宋体" w:hAnsi="宋体" w:eastAsia="宋体" w:cs="宋体"/>
          <w:b/>
          <w:sz w:val="24"/>
          <w:szCs w:val="24"/>
          <w:lang w:val="en-US" w:eastAsia="zh-CN"/>
        </w:rPr>
        <w:t xml:space="preserve">JG/T5009-</w:t>
      </w:r>
      <w:r>
        <w:rPr>
          <w:rFonts w:hint="eastAsia" w:ascii="宋体" w:hAnsi="宋体" w:eastAsia="宋体" w:cs="宋体"/>
          <w:b/>
          <w:sz w:val="24"/>
          <w:szCs w:val="24"/>
          <w:lang w:val="en-US" w:eastAsia="zh-CN"/>
        </w:rPr>
        <w:t xml:space="preserve">2014）</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w:t>
      </w:r>
      <w:r>
        <w:rPr>
          <w:rFonts w:hint="default" w:ascii="宋体" w:hAnsi="宋体" w:eastAsia="宋体" w:cs="宋体"/>
          <w:b/>
          <w:sz w:val="24"/>
          <w:szCs w:val="24"/>
          <w:lang w:val="en-US" w:eastAsia="zh-CN"/>
        </w:rPr>
        <w:t xml:space="preserve">12</w:t>
      </w:r>
      <w:r>
        <w:rPr>
          <w:rFonts w:hint="eastAsia" w:ascii="宋体" w:hAnsi="宋体" w:eastAsia="宋体" w:cs="宋体"/>
          <w:b/>
          <w:sz w:val="24"/>
          <w:szCs w:val="24"/>
          <w:lang w:val="en-US" w:eastAsia="zh-CN"/>
        </w:rPr>
        <w:t xml:space="preserve">）《机械设备安装工程电梯电气装置施工及验收规范》</w:t>
      </w:r>
      <w:r>
        <w:rPr>
          <w:rFonts w:hint="default" w:ascii="宋体" w:hAnsi="宋体" w:eastAsia="宋体" w:cs="宋体"/>
          <w:b/>
          <w:sz w:val="24"/>
          <w:szCs w:val="24"/>
          <w:lang w:val="en-US" w:eastAsia="zh-CN"/>
        </w:rPr>
        <w:t xml:space="preserve">GB50182-93</w:t>
      </w:r>
      <w:r/>
    </w:p>
    <w:p>
      <w:pPr>
        <w:ind w:firstLine="482"/>
        <w:spacing w:line="400" w:lineRule="exact"/>
        <w:rPr>
          <w:rFonts w:hint="default"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w:t>
      </w:r>
      <w:r>
        <w:rPr>
          <w:rFonts w:hint="default" w:ascii="宋体" w:hAnsi="宋体" w:eastAsia="宋体" w:cs="宋体"/>
          <w:b/>
          <w:sz w:val="24"/>
          <w:szCs w:val="24"/>
          <w:lang w:val="en-US" w:eastAsia="zh-CN"/>
        </w:rPr>
        <w:t xml:space="preserve">13</w:t>
      </w:r>
      <w:r>
        <w:rPr>
          <w:rFonts w:hint="eastAsia" w:ascii="宋体" w:hAnsi="宋体" w:eastAsia="宋体" w:cs="宋体"/>
          <w:b/>
          <w:sz w:val="24"/>
          <w:szCs w:val="24"/>
          <w:lang w:val="en-US" w:eastAsia="zh-CN"/>
        </w:rPr>
        <w:t xml:space="preserve">）江苏省防火部门的条例及相关的中国国家防火规则</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w:t>
      </w:r>
      <w:r>
        <w:rPr>
          <w:rFonts w:hint="default" w:ascii="宋体" w:hAnsi="宋体" w:eastAsia="宋体" w:cs="宋体"/>
          <w:b/>
          <w:sz w:val="24"/>
          <w:szCs w:val="24"/>
          <w:lang w:val="en-US" w:eastAsia="zh-CN"/>
        </w:rPr>
        <w:t xml:space="preserve">14</w:t>
      </w:r>
      <w:r>
        <w:rPr>
          <w:rFonts w:hint="eastAsia" w:ascii="宋体" w:hAnsi="宋体" w:eastAsia="宋体" w:cs="宋体"/>
          <w:b/>
          <w:sz w:val="24"/>
          <w:szCs w:val="24"/>
          <w:lang w:val="en-US" w:eastAsia="zh-CN"/>
        </w:rPr>
        <w:t xml:space="preserve">）《市场监管总局办公厅关于进一步做好住宅老旧电梯更新有关工作的通知》（市监特设发〔2025〕52号）</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（15）《市场监管总局办公厅关于进一步做好住宅老旧电梯更新有关工作的通知附件1.纳入超长期特别国债资金支持的更新电梯专项要求》（市监特设发〔2025〕52号）</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（16）《市场监管总局办公厅关于进一步做好住宅老旧电梯更新有关工作的通知附件2.纳入超长期特别国债资金支持的更新电梯检验附加要求》（市监特设发〔2025〕52号）</w:t>
      </w:r>
      <w:r/>
    </w:p>
    <w:p>
      <w:pPr>
        <w:ind w:firstLine="482"/>
        <w:spacing w:line="400" w:lineRule="exact"/>
        <w:rPr>
          <w:rFonts w:hint="default"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（17）其他</w:t>
      </w:r>
      <w:bookmarkStart w:id="130" w:name="_Hlk135317920"/>
      <w:r>
        <w:rPr>
          <w:rFonts w:hint="eastAsia" w:ascii="宋体" w:hAnsi="宋体" w:eastAsia="宋体" w:cs="宋体"/>
          <w:b/>
          <w:sz w:val="24"/>
          <w:szCs w:val="24"/>
          <w:lang w:val="en-US" w:eastAsia="zh-CN"/>
        </w:rPr>
        <w:t xml:space="preserve">与电梯相关的国家、行业和地方的法律法规、规范规程、标准、图集</w:t>
      </w:r>
      <w:bookmarkEnd w:id="130"/>
      <w:r>
        <w:rPr>
          <w:rFonts w:hint="eastAsia" w:ascii="宋体" w:hAnsi="宋体" w:eastAsia="宋体" w:cs="宋体"/>
          <w:b/>
          <w:sz w:val="24"/>
          <w:szCs w:val="24"/>
          <w:lang w:val="en-US" w:eastAsia="zh-CN"/>
        </w:rPr>
        <w:t xml:space="preserve">。</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上述规范及技术条件并非全部，如有停用或废止的，应以相应的最新版本为准。</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2.主要技术标准</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2.1电梯安装及运营所需所有设备、部件及电缆、电线、线管、线槽、开关、老旧电梯拆除、恢复等，均由供应商提供并安装，上述所涉及到的所有内容均含在供应商报价内。</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2.2所有装置必须可应付每星期7日、每日24小时无休息地正常工作。</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2.3所有装置必须考虑防火、防尘、耐用、节能、容易清洁及便于日常维修，并以安全为原则。</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2.4所有部件的制造日期不能比整机出厂日期提前12个月以上（甲方书面通知延期交货除外）。</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2.5所有使用的材料和工艺必须是优质的。</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2.6外观质量要求：轿厢、轿门、层门、操纵盘、钥匙开关、操纵盘上舱门（内藏特殊开关）、按钮、厅外召唤盒、轿内及厅外数字楼层显示器等所有可见部分都不得有划痕，不得有凹进或凸出部分，连接处不得有可见的缝隙或高低不平。</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2.7轿厢壁板、轿门、厅门、门套材质为不锈钢。 </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2.8轿厢的通风：在轿厢的上部及下部提供自然通风。上下通风孔总有效面积不小于轿厢有效面积的3%，并且上部及下部通风孔的有效面积分别不应小于轿厢有效面积的1.5%。进出风口应有空气过滤装置，以防止井道内灰尘进入轿厢。</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2.9所有钢材都应做好防锈处理，质量须达到中国国家相关标准及行业、企业相关标准要求的优等品的水平。</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2.10本项目包含阻车系统及刷卡系统投标人自行考虑。</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2.11投标人须对点电梯内配备监控并接入现有物业系统，此项包含在总价中。</w:t>
      </w:r>
      <w:r/>
    </w:p>
    <w:p>
      <w:pPr>
        <w:ind w:firstLine="482"/>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2.1</w:t>
      </w:r>
      <w:r>
        <w:rPr>
          <w:rFonts w:hint="eastAsia" w:ascii="宋体" w:hAnsi="宋体" w:cs="宋体"/>
          <w:b/>
          <w:sz w:val="24"/>
          <w:szCs w:val="24"/>
          <w:lang w:val="en-US" w:eastAsia="zh-CN"/>
        </w:rPr>
        <w:t xml:space="preserve">2</w:t>
      </w:r>
      <w:r>
        <w:rPr>
          <w:rFonts w:hint="default" w:ascii="宋体" w:hAnsi="宋体" w:eastAsia="宋体" w:cs="宋体"/>
          <w:b/>
          <w:sz w:val="24"/>
          <w:szCs w:val="24"/>
          <w:lang w:val="en-US" w:eastAsia="zh-CN"/>
        </w:rPr>
        <w:t xml:space="preserve">本次招标的电梯</w:t>
      </w:r>
      <w:r>
        <w:rPr>
          <w:rFonts w:hint="eastAsia" w:ascii="宋体" w:hAnsi="宋体" w:eastAsia="宋体" w:cs="宋体"/>
          <w:b/>
          <w:sz w:val="24"/>
          <w:szCs w:val="24"/>
          <w:lang w:val="en-US" w:eastAsia="zh-CN"/>
        </w:rPr>
        <w:t xml:space="preserve">要求为未使用过的全新产品。</w:t>
      </w:r>
      <w:r/>
    </w:p>
    <w:p>
      <w:pPr>
        <w:spacing w:line="360" w:lineRule="auto"/>
        <w:rPr>
          <w:rFonts w:hint="eastAsia" w:ascii="宋体" w:hAnsi="宋体" w:eastAsia="宋体" w:cs="Times New Roman"/>
          <w:b/>
          <w:bCs/>
          <w:sz w:val="28"/>
          <w:szCs w:val="28"/>
          <w:highlight w:val="none"/>
        </w:rPr>
        <w:outlineLvl w:val="1"/>
      </w:pPr>
      <w:r>
        <w:rPr>
          <w:rFonts w:hint="eastAsia" w:ascii="宋体" w:hAnsi="宋体" w:eastAsia="宋体" w:cs="Times New Roman"/>
          <w:b/>
          <w:bCs/>
          <w:sz w:val="28"/>
          <w:szCs w:val="28"/>
          <w:highlight w:val="none"/>
        </w:rPr>
        <w:t xml:space="preserve">四</w:t>
      </w:r>
      <w:r>
        <w:rPr>
          <w:rFonts w:hint="default" w:ascii="宋体" w:hAnsi="宋体" w:eastAsia="宋体" w:cs="Times New Roman"/>
          <w:b/>
          <w:bCs/>
          <w:sz w:val="28"/>
          <w:szCs w:val="28"/>
          <w:highlight w:val="none"/>
        </w:rPr>
        <w:t xml:space="preserve">、</w:t>
      </w:r>
      <w:r>
        <w:rPr>
          <w:rFonts w:hint="eastAsia" w:ascii="宋体" w:hAnsi="宋体" w:eastAsia="宋体" w:cs="Times New Roman"/>
          <w:b/>
          <w:bCs/>
          <w:sz w:val="28"/>
          <w:szCs w:val="28"/>
          <w:highlight w:val="none"/>
        </w:rPr>
        <w:t xml:space="preserve">商务</w:t>
      </w:r>
      <w:r>
        <w:rPr>
          <w:rFonts w:hint="default" w:ascii="宋体" w:hAnsi="宋体" w:eastAsia="宋体" w:cs="Times New Roman"/>
          <w:b/>
          <w:bCs/>
          <w:sz w:val="28"/>
          <w:szCs w:val="28"/>
          <w:highlight w:val="none"/>
        </w:rPr>
        <w:t xml:space="preserve">要求</w:t>
      </w:r>
      <w:r/>
    </w:p>
    <w:p>
      <w:pPr>
        <w:ind w:firstLine="480"/>
        <w:jc w:val="left"/>
        <w:spacing w:line="360" w:lineRule="auto"/>
        <w:widowControl/>
        <w:rPr>
          <w:rFonts w:hint="eastAsia" w:ascii="宋体" w:hAnsi="宋体" w:eastAsia="宋体" w:cs="宋体"/>
          <w:b/>
          <w:sz w:val="24"/>
          <w:szCs w:val="24"/>
          <w:highlight w:val="none"/>
        </w:rPr>
      </w:pPr>
      <w:r>
        <w:rPr>
          <w:rFonts w:hint="eastAsia" w:ascii="宋体" w:hAnsi="宋体" w:eastAsia="宋体" w:cs="宋体"/>
          <w:sz w:val="24"/>
          <w:szCs w:val="22"/>
          <w:highlight w:val="none"/>
        </w:rPr>
        <w:t xml:space="preserve"> </w:t>
      </w:r>
      <w:r>
        <w:rPr>
          <w:rFonts w:hint="eastAsia" w:ascii="宋体" w:hAnsi="宋体" w:eastAsia="宋体" w:cs="宋体"/>
          <w:b/>
          <w:sz w:val="24"/>
          <w:szCs w:val="24"/>
          <w:highlight w:val="none"/>
        </w:rPr>
        <w:t xml:space="preserve">（一）包装与储运要求</w:t>
      </w:r>
      <w:r/>
    </w:p>
    <w:p>
      <w:pPr>
        <w:ind w:firstLine="480"/>
        <w:jc w:val="both"/>
        <w:spacing w:line="360" w:lineRule="auto"/>
        <w:widowControl w:val="off"/>
        <w:tabs>
          <w:tab w:val="left" w:pos="1008"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1.包装与保护</w:t>
      </w:r>
      <w:r/>
    </w:p>
    <w:p>
      <w:pPr>
        <w:ind w:firstLine="480"/>
        <w:jc w:val="both"/>
        <w:spacing w:line="360" w:lineRule="auto"/>
        <w:widowControl w:val="off"/>
        <w:tabs>
          <w:tab w:val="left" w:pos="1008"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投标人应确保所提供的货物在装、卸、运输和储存过程中有足够的包装保护，防止货物受潮、生锈、被腐蚀、受到冲撞以及其他不可预见的损坏。货物的包装应为生产厂商出厂时的原包装，并符合相关国家标准。</w:t>
      </w:r>
      <w:r/>
    </w:p>
    <w:p>
      <w:pPr>
        <w:ind w:firstLine="480"/>
        <w:jc w:val="both"/>
        <w:spacing w:line="360" w:lineRule="auto"/>
        <w:widowControl w:val="off"/>
        <w:tabs>
          <w:tab w:val="left" w:pos="1008"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2.货物装箱清单及文件</w:t>
      </w:r>
      <w:r/>
    </w:p>
    <w:p>
      <w:pPr>
        <w:ind w:firstLine="480"/>
        <w:jc w:val="both"/>
        <w:spacing w:line="360" w:lineRule="auto"/>
        <w:widowControl w:val="off"/>
        <w:tabs>
          <w:tab w:val="left" w:pos="1008"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货物包装箱内必须附有详细的装箱清单，主机、附件、各种零部件和消耗品有清楚的与装箱单相对应的名称和编号。在包装箱中必须有招标文件所要求的所有文件和资料。</w:t>
      </w:r>
      <w:r/>
    </w:p>
    <w:p>
      <w:pPr>
        <w:ind w:firstLine="480"/>
        <w:spacing w:line="36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（二）交货期、交货方式及交货地点</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rPr>
        <w:t xml:space="preserve">交货期：</w:t>
      </w:r>
      <w:r>
        <w:rPr>
          <w:rFonts w:hint="eastAsia" w:ascii="宋体" w:hAnsi="宋体" w:eastAsia="宋体" w:cs="宋体"/>
          <w:sz w:val="24"/>
          <w:szCs w:val="22"/>
          <w:highlight w:val="none"/>
        </w:rPr>
        <w:t xml:space="preserve">合同签订后</w:t>
      </w:r>
      <w:r>
        <w:rPr>
          <w:rFonts w:hint="eastAsia" w:ascii="宋体" w:hAnsi="宋体" w:eastAsia="宋体" w:cs="宋体"/>
          <w:sz w:val="24"/>
          <w:szCs w:val="22"/>
          <w:highlight w:val="none"/>
          <w:lang w:eastAsia="zh-CN"/>
        </w:rPr>
        <w:t xml:space="preserve">60日历天</w:t>
      </w:r>
      <w:r>
        <w:rPr>
          <w:rFonts w:hint="eastAsia" w:ascii="宋体" w:hAnsi="宋体" w:eastAsia="宋体" w:cs="宋体"/>
          <w:sz w:val="24"/>
          <w:szCs w:val="22"/>
          <w:highlight w:val="none"/>
        </w:rPr>
        <w:t xml:space="preserve">内完成供货安装调试。</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rPr>
        <w:t xml:space="preserve">交货地点：采购人指定地点，由供应商负责办理运输和装卸等，费用由供应商负责，采购人组织验收，检验不合格或不符合质量要求，供应商除无条件退货、返工外，还应承担采购人由此造成的一切损失。</w:t>
      </w:r>
      <w:r/>
    </w:p>
    <w:p>
      <w:pPr>
        <w:ind w:firstLine="480"/>
        <w:spacing w:line="36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（三）付款方式</w:t>
      </w:r>
      <w:r/>
    </w:p>
    <w:p>
      <w:pPr>
        <w:ind w:firstLine="480"/>
        <w:jc w:val="both"/>
        <w:spacing w:line="48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sz w:val="24"/>
          <w:szCs w:val="22"/>
          <w:highlight w:val="none"/>
          <w:lang w:val="en-US" w:eastAsia="zh-CN" w:bidi="ar-SA"/>
        </w:rPr>
        <w:t xml:space="preserve">预付款，</w:t>
      </w:r>
      <w:r>
        <w:rPr>
          <w:rFonts w:hint="eastAsia" w:ascii="宋体" w:hAnsi="宋体" w:eastAsia="宋体" w:cs="宋体"/>
          <w:color w:val="auto"/>
          <w:sz w:val="24"/>
          <w:szCs w:val="22"/>
          <w:highlight w:val="none"/>
          <w:lang w:val="en-US" w:eastAsia="zh-CN" w:bidi="ar-SA"/>
        </w:rPr>
        <w:t xml:space="preserve">签订合同后支付合同总价款的30%；</w:t>
      </w:r>
      <w:r/>
    </w:p>
    <w:p>
      <w:pPr>
        <w:ind w:firstLine="480"/>
        <w:jc w:val="both"/>
        <w:spacing w:line="480" w:lineRule="exact"/>
        <w:widowControl w:val="off"/>
        <w:rPr>
          <w:rFonts w:hint="eastAsia" w:ascii="宋体" w:hAnsi="宋体" w:eastAsia="宋体" w:cs="宋体"/>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进度款：设备全部安装完毕付至合同价款的</w:t>
      </w:r>
      <w:r>
        <w:rPr>
          <w:rFonts w:hint="eastAsia" w:ascii="宋体" w:hAnsi="宋体" w:eastAsia="宋体" w:cs="宋体"/>
          <w:sz w:val="24"/>
          <w:szCs w:val="22"/>
          <w:highlight w:val="none"/>
          <w:lang w:val="en-US" w:eastAsia="zh-CN" w:bidi="ar-SA"/>
        </w:rPr>
        <w:t xml:space="preserve">80%，特种设备安全监督部门验收合格、取得“特种设备使用登记证”后付至合同价款的97%；余款待取得“特种设备使用登记证”满5年后，一次性付清。</w:t>
      </w:r>
      <w:r/>
    </w:p>
    <w:p>
      <w:pPr>
        <w:ind w:firstLine="480"/>
        <w:jc w:val="both"/>
        <w:spacing w:line="480" w:lineRule="exact"/>
        <w:widowControl w:val="off"/>
        <w:rPr>
          <w:rFonts w:hint="eastAsia" w:ascii="宋体" w:hAnsi="宋体" w:eastAsia="宋体" w:cs="宋体"/>
          <w:sz w:val="24"/>
          <w:szCs w:val="22"/>
          <w:highlight w:val="none"/>
          <w:lang w:val="en-US" w:eastAsia="zh-CN" w:bidi="ar-SA"/>
        </w:rPr>
      </w:pPr>
      <w:r>
        <w:rPr>
          <w:rFonts w:hint="eastAsia" w:ascii="宋体" w:hAnsi="宋体" w:eastAsia="宋体" w:cs="宋体"/>
          <w:sz w:val="24"/>
          <w:szCs w:val="22"/>
          <w:highlight w:val="none"/>
          <w:lang w:val="en-US" w:eastAsia="zh-CN" w:bidi="ar-SA"/>
        </w:rPr>
        <w:t xml:space="preserve">（1）可以采用数字人民币支付。</w:t>
      </w:r>
      <w:r/>
    </w:p>
    <w:p>
      <w:pPr>
        <w:ind w:firstLine="480"/>
        <w:jc w:val="both"/>
        <w:spacing w:line="480" w:lineRule="exact"/>
        <w:widowControl w:val="off"/>
        <w:rPr>
          <w:rFonts w:hint="eastAsia" w:ascii="宋体" w:hAnsi="宋体" w:eastAsia="宋体" w:cs="宋体"/>
          <w:sz w:val="24"/>
          <w:szCs w:val="22"/>
          <w:highlight w:val="none"/>
          <w:lang w:val="en-US" w:eastAsia="zh-CN" w:bidi="ar-SA"/>
        </w:rPr>
      </w:pPr>
      <w:r>
        <w:rPr>
          <w:rFonts w:hint="eastAsia" w:ascii="宋体" w:hAnsi="宋体" w:eastAsia="宋体" w:cs="宋体"/>
          <w:sz w:val="24"/>
          <w:szCs w:val="22"/>
          <w:highlight w:val="none"/>
          <w:lang w:val="en-US" w:eastAsia="zh-CN" w:bidi="ar-SA"/>
        </w:rPr>
        <w:t xml:space="preserve">（2）资金支付的时间：收到供应商发票10个工作日内。</w:t>
      </w:r>
      <w:r/>
    </w:p>
    <w:p>
      <w:pPr>
        <w:ind w:firstLine="480"/>
        <w:jc w:val="both"/>
        <w:spacing w:line="480" w:lineRule="exact"/>
        <w:widowControl w:val="off"/>
        <w:rPr>
          <w:rFonts w:hint="eastAsia" w:ascii="宋体" w:hAnsi="宋体" w:eastAsia="宋体" w:cs="宋体"/>
          <w:sz w:val="24"/>
          <w:szCs w:val="22"/>
          <w:highlight w:val="none"/>
          <w:lang w:val="en-US" w:eastAsia="zh-CN" w:bidi="ar-SA"/>
        </w:rPr>
      </w:pPr>
      <w:r>
        <w:rPr>
          <w:rFonts w:hint="eastAsia" w:ascii="宋体" w:hAnsi="宋体" w:eastAsia="宋体" w:cs="宋体"/>
          <w:sz w:val="24"/>
          <w:szCs w:val="22"/>
          <w:highlight w:val="none"/>
          <w:lang w:val="en-US" w:eastAsia="zh-CN" w:bidi="ar-SA"/>
        </w:rPr>
        <w:t xml:space="preserve">（3）资金支付的条件：满足相应阶段的要求且收到供应商发票。</w:t>
      </w:r>
      <w:r/>
    </w:p>
    <w:p>
      <w:pPr>
        <w:ind w:firstLine="480"/>
        <w:jc w:val="both"/>
        <w:spacing w:line="480" w:lineRule="exact"/>
        <w:widowControl w:val="off"/>
        <w:rPr>
          <w:rFonts w:hint="eastAsia" w:ascii="宋体" w:hAnsi="宋体" w:eastAsia="宋体" w:cs="宋体"/>
          <w:sz w:val="24"/>
          <w:szCs w:val="22"/>
          <w:highlight w:val="none"/>
          <w:lang w:val="en-US" w:eastAsia="zh-CN" w:bidi="ar-SA"/>
        </w:rPr>
      </w:pPr>
      <w:r>
        <w:rPr>
          <w:rFonts w:hint="eastAsia" w:ascii="宋体" w:hAnsi="宋体" w:eastAsia="宋体" w:cs="宋体"/>
          <w:sz w:val="24"/>
          <w:szCs w:val="22"/>
          <w:highlight w:val="none"/>
          <w:lang w:val="en-US" w:eastAsia="zh-CN" w:bidi="ar-SA"/>
        </w:rPr>
        <w:t xml:space="preserve">（4）在签订合同时，供应商明确表示无需预付款或者主动要求降低预付款比例的，采购人可不适用前述规定。</w:t>
      </w:r>
      <w:r/>
    </w:p>
    <w:p>
      <w:pPr>
        <w:spacing w:line="360" w:lineRule="auto"/>
        <w:rPr>
          <w:rFonts w:hint="eastAsia" w:ascii="宋体" w:hAnsi="宋体" w:eastAsia="宋体" w:cs="Times New Roman"/>
          <w:b/>
          <w:bCs/>
          <w:sz w:val="28"/>
          <w:szCs w:val="28"/>
          <w:highlight w:val="none"/>
        </w:rPr>
        <w:outlineLvl w:val="1"/>
      </w:pPr>
      <w:r/>
      <w:bookmarkStart w:id="131" w:name="_Hlk187855282"/>
      <w:r>
        <w:rPr>
          <w:rFonts w:hint="eastAsia" w:ascii="宋体" w:hAnsi="宋体" w:eastAsia="宋体" w:cs="Times New Roman"/>
          <w:b/>
          <w:bCs/>
          <w:sz w:val="28"/>
          <w:szCs w:val="28"/>
          <w:highlight w:val="none"/>
        </w:rPr>
        <w:t xml:space="preserve">五、验收标准</w:t>
      </w:r>
      <w:bookmarkEnd w:id="131"/>
      <w:r/>
      <w:r/>
    </w:p>
    <w:p>
      <w:pPr>
        <w:ind w:firstLine="480"/>
        <w:jc w:val="both"/>
        <w:spacing w:line="360" w:lineRule="auto"/>
        <w:widowControl w:val="off"/>
        <w:tabs>
          <w:tab w:val="left" w:pos="6840" w:leader="none"/>
        </w:tabs>
        <w:rPr>
          <w:rFonts w:hint="eastAsia" w:ascii="宋体" w:hAnsi="宋体" w:eastAsia="宋体" w:cs="宋体"/>
          <w:sz w:val="24"/>
          <w:szCs w:val="24"/>
          <w:highlight w:val="none"/>
          <w:lang w:val="en-US" w:eastAsia="zh-CN" w:bidi="ar-SA"/>
        </w:rPr>
      </w:pPr>
      <w:r/>
      <w:bookmarkStart w:id="132" w:name="OLE_LINK9"/>
      <w:r>
        <w:rPr>
          <w:rFonts w:hint="eastAsia" w:ascii="宋体" w:hAnsi="宋体" w:eastAsia="宋体" w:cs="宋体"/>
          <w:sz w:val="24"/>
          <w:szCs w:val="24"/>
          <w:highlight w:val="none"/>
          <w:lang w:val="en-US" w:eastAsia="zh-CN" w:bidi="ar-SA"/>
        </w:rPr>
        <w:t xml:space="preserve">（一）鉴定和验收</w:t>
      </w:r>
      <w:r/>
    </w:p>
    <w:p>
      <w:pPr>
        <w:ind w:firstLine="480"/>
        <w:jc w:val="both"/>
        <w:spacing w:line="360" w:lineRule="auto"/>
        <w:widowControl w:val="off"/>
        <w:tabs>
          <w:tab w:val="left" w:pos="684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1.现场验收：设备、附件及备件的开箱检验，应在货物到达交货地点后10天内在合同指定的现场完成。</w:t>
      </w:r>
      <w:r/>
    </w:p>
    <w:p>
      <w:pPr>
        <w:ind w:firstLine="480"/>
        <w:jc w:val="both"/>
        <w:spacing w:line="360" w:lineRule="auto"/>
        <w:widowControl w:val="off"/>
        <w:tabs>
          <w:tab w:val="left" w:pos="684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2.场地环境：货物到达安装现场后，按有关技术规程的规定存放和保管，如投标人有特殊要求，应向采购人及早提出。</w:t>
      </w:r>
      <w:r/>
    </w:p>
    <w:p>
      <w:pPr>
        <w:ind w:firstLine="480"/>
        <w:jc w:val="both"/>
        <w:spacing w:line="360" w:lineRule="auto"/>
        <w:widowControl w:val="off"/>
        <w:tabs>
          <w:tab w:val="left" w:pos="684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3.安装调试：货物应由投标人负责在采购人建筑工地现场进行安装、调试及运行。一切在安装、调试过程中造成的货物损坏，责任均在投标人。</w:t>
      </w:r>
      <w:r/>
    </w:p>
    <w:p>
      <w:pPr>
        <w:ind w:firstLine="480"/>
        <w:jc w:val="both"/>
        <w:spacing w:line="360" w:lineRule="auto"/>
        <w:widowControl w:val="off"/>
        <w:tabs>
          <w:tab w:val="left" w:pos="6840" w:leader="none"/>
        </w:tabs>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4.设备的检验和验收： 投标人除对标书规定的电梯设备提供重要关键零部件的制造质量检测报告外，在标书中确定的安装地安装完毕后，采购人要求对整机的性能至少做以下第（二）项的检验。试验结果必须符合我国电梯制造与安装安全规范（GB10058，GB10060）以及投标人提供的制造与安装标准和技术规范要求且满足纳入超长期特别国债资金支持的更新电梯检验附加要求。</w:t>
      </w:r>
      <w:r/>
    </w:p>
    <w:p>
      <w:pPr>
        <w:ind w:firstLine="480"/>
        <w:jc w:val="both"/>
        <w:spacing w:line="360" w:lineRule="auto"/>
        <w:widowControl w:val="off"/>
        <w:tabs>
          <w:tab w:val="left" w:pos="684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（二）检验要求：</w:t>
      </w:r>
      <w:r/>
    </w:p>
    <w:p>
      <w:pPr>
        <w:ind w:firstLine="480"/>
        <w:jc w:val="both"/>
        <w:spacing w:line="360" w:lineRule="auto"/>
        <w:widowControl w:val="off"/>
        <w:tabs>
          <w:tab w:val="left" w:pos="684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1.按投标人提供的文件与已安装完毕的电梯比较；</w:t>
      </w:r>
      <w:r/>
    </w:p>
    <w:p>
      <w:pPr>
        <w:ind w:firstLine="480"/>
        <w:jc w:val="both"/>
        <w:spacing w:line="360" w:lineRule="auto"/>
        <w:widowControl w:val="off"/>
        <w:tabs>
          <w:tab w:val="left" w:pos="684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2.对外观及无特殊要求的部件制造、安装质量，进行直观检查；</w:t>
      </w:r>
      <w:r/>
    </w:p>
    <w:p>
      <w:pPr>
        <w:ind w:firstLine="480"/>
        <w:jc w:val="both"/>
        <w:spacing w:line="360" w:lineRule="auto"/>
        <w:widowControl w:val="off"/>
        <w:tabs>
          <w:tab w:val="left" w:pos="684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3.门锁装置、控制柜、限速器、安全钳、缓冲器等部件，投标人必须提供鉴定合格证的副本，并将其合格证详细内容与电梯特殊性进行比较。</w:t>
      </w:r>
      <w:r/>
    </w:p>
    <w:p>
      <w:pPr>
        <w:ind w:firstLine="480"/>
        <w:jc w:val="both"/>
        <w:spacing w:line="360" w:lineRule="auto"/>
        <w:widowControl w:val="off"/>
        <w:tabs>
          <w:tab w:val="left" w:pos="684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（三）设备安装调试合格后，由投标人负责联系使用地国家法定检验部门，会同采购人按国家有关标准进行联合验收，并办理使用许可证。</w:t>
      </w:r>
      <w:bookmarkEnd w:id="132"/>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四</w:t>
      </w:r>
      <w:r>
        <w:rPr>
          <w:rFonts w:hint="eastAsia" w:ascii="宋体" w:hAnsi="宋体" w:eastAsia="宋体" w:cs="宋体"/>
          <w:sz w:val="24"/>
          <w:szCs w:val="24"/>
          <w:highlight w:val="none"/>
          <w:lang w:eastAsia="zh-CN"/>
        </w:rPr>
        <w:t xml:space="preserve">）</w:t>
      </w:r>
      <w:r>
        <w:rPr>
          <w:rFonts w:hint="eastAsia" w:ascii="宋体" w:hAnsi="宋体" w:eastAsia="宋体" w:cs="宋体"/>
          <w:bCs/>
          <w:sz w:val="24"/>
          <w:szCs w:val="24"/>
          <w:highlight w:val="none"/>
        </w:rPr>
        <w:t xml:space="preserve">相关资料要求</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中标人验收前应提供电梯相关资料，包括但不限于下列内容：</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（1）电梯的主要性能参数以及设计使用年限； </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（2）电梯使用方法及注意事项； </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（3）日常与定期的维护、保养要求； </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（4）电梯易损零部件的更换方法；</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（5）产品合格证、设备检验合格证；</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bCs/>
          <w:sz w:val="24"/>
          <w:szCs w:val="24"/>
          <w:highlight w:val="none"/>
        </w:rPr>
        <w:t xml:space="preserve">（6）安装说明书、部件安装图、电器敷线图；</w:t>
      </w:r>
      <w:r/>
    </w:p>
    <w:p>
      <w:pPr>
        <w:jc w:val="left"/>
        <w:spacing w:line="360" w:lineRule="auto"/>
        <w:widowControl/>
        <w:rPr>
          <w:rFonts w:hint="eastAsia" w:ascii="宋体" w:hAnsi="宋体" w:eastAsia="宋体" w:cs="宋体"/>
          <w:b/>
          <w:bCs/>
          <w:sz w:val="24"/>
          <w:szCs w:val="22"/>
          <w:highlight w:val="none"/>
        </w:rPr>
        <w:outlineLvl w:val="1"/>
      </w:pPr>
      <w:r>
        <w:rPr>
          <w:rFonts w:hint="eastAsia" w:ascii="宋体" w:hAnsi="宋体" w:eastAsia="宋体" w:cs="Times New Roman"/>
          <w:b/>
          <w:bCs/>
          <w:sz w:val="28"/>
          <w:szCs w:val="28"/>
          <w:highlight w:val="none"/>
        </w:rPr>
        <w:t xml:space="preserve">六、</w:t>
      </w:r>
      <w:r>
        <w:rPr>
          <w:rFonts w:hint="eastAsia" w:ascii="宋体" w:hAnsi="宋体" w:eastAsia="宋体" w:cs="宋体"/>
          <w:b/>
          <w:bCs/>
          <w:sz w:val="24"/>
          <w:szCs w:val="22"/>
          <w:highlight w:val="none"/>
        </w:rPr>
        <w:t xml:space="preserve">项目实施方案</w:t>
      </w:r>
      <w:r/>
    </w:p>
    <w:p>
      <w:pPr>
        <w:ind w:firstLine="480"/>
        <w:jc w:val="left"/>
        <w:spacing w:line="360" w:lineRule="auto"/>
        <w:widowControl/>
        <w:rPr>
          <w:rFonts w:hint="eastAsia" w:ascii="宋体" w:hAnsi="宋体" w:eastAsia="宋体" w:cs="宋体"/>
          <w:b/>
          <w:bCs/>
          <w:sz w:val="24"/>
          <w:szCs w:val="22"/>
          <w:highlight w:val="none"/>
        </w:rPr>
        <w:outlineLvl w:val="1"/>
      </w:pPr>
      <w:r>
        <w:rPr>
          <w:rFonts w:hint="eastAsia" w:ascii="宋体" w:hAnsi="宋体" w:eastAsia="宋体" w:cs="宋体"/>
          <w:bCs/>
          <w:color w:val="auto"/>
          <w:sz w:val="24"/>
          <w:szCs w:val="24"/>
          <w:highlight w:val="none"/>
        </w:rPr>
        <w:t xml:space="preserve">项目实施总体方案应包含需要的环境、工程实施方案、人员组成、质量保证、工期管理、风险预防及控制措施突发事件处置方案，有明确的时间节点和进度安排，项目管理运行机制健全。</w:t>
      </w:r>
      <w:r/>
    </w:p>
    <w:p>
      <w:pPr>
        <w:ind w:firstLine="480"/>
        <w:jc w:val="left"/>
        <w:spacing w:line="360" w:lineRule="auto"/>
        <w:widowControl/>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1</w:t>
      </w:r>
      <w:r>
        <w:rPr>
          <w:rFonts w:hint="eastAsia" w:ascii="宋体" w:hAnsi="宋体" w:eastAsia="宋体" w:cs="宋体"/>
          <w:sz w:val="24"/>
          <w:szCs w:val="22"/>
          <w:highlight w:val="none"/>
          <w:lang w:val="en-US" w:eastAsia="zh-CN"/>
        </w:rPr>
        <w:t xml:space="preserve">.</w:t>
      </w:r>
      <w:r>
        <w:rPr>
          <w:rFonts w:hint="eastAsia" w:ascii="宋体" w:hAnsi="宋体" w:eastAsia="宋体" w:cs="宋体"/>
          <w:sz w:val="24"/>
          <w:szCs w:val="22"/>
          <w:highlight w:val="none"/>
        </w:rPr>
        <w:t xml:space="preserve">项目实施方案：投标人应按照招标文件要求制定详细的项目实施方案，包括但不限于涉及人员组成、</w:t>
      </w:r>
      <w:r>
        <w:rPr>
          <w:rFonts w:hint="eastAsia" w:ascii="宋体" w:hAnsi="宋体" w:eastAsia="宋体" w:cs="宋体"/>
          <w:sz w:val="24"/>
          <w:szCs w:val="22"/>
          <w:highlight w:val="none"/>
          <w:lang w:val="en-US" w:eastAsia="zh-CN"/>
        </w:rPr>
        <w:t xml:space="preserve">旧梯</w:t>
      </w:r>
      <w:r>
        <w:rPr>
          <w:rFonts w:hint="eastAsia" w:ascii="Times New Roman" w:hAnsi="Times New Roman" w:eastAsia="宋体" w:cs="宋体"/>
          <w:color w:val="000000"/>
          <w:sz w:val="24"/>
          <w:szCs w:val="24"/>
          <w:highlight w:val="none"/>
          <w:lang w:val="en-US" w:eastAsia="zh-CN"/>
        </w:rPr>
        <w:t xml:space="preserve">拆除</w:t>
      </w:r>
      <w:r>
        <w:rPr>
          <w:rFonts w:hint="eastAsia" w:ascii="宋体" w:hAnsi="宋体" w:eastAsia="宋体" w:cs="宋体"/>
          <w:sz w:val="24"/>
          <w:szCs w:val="22"/>
          <w:highlight w:val="none"/>
        </w:rPr>
        <w:t xml:space="preserve">、质量保障措施、设备安装调试验收、风险预防及控制措施、突发事件处置方案以及原设备拆除等内容。方案应完全满足招标文件对项目实施的要求，结构严谨，内容完整详实，能够针对采购项目内容要求而细化制定。 </w:t>
      </w:r>
      <w:r/>
    </w:p>
    <w:p>
      <w:pPr>
        <w:ind w:firstLine="480"/>
        <w:jc w:val="left"/>
        <w:spacing w:line="360" w:lineRule="auto"/>
        <w:widowControl/>
        <w:rPr>
          <w:rFonts w:hint="default" w:ascii="宋体" w:hAnsi="宋体" w:eastAsia="宋体" w:cs="宋体"/>
          <w:sz w:val="24"/>
          <w:szCs w:val="22"/>
          <w:highlight w:val="none"/>
          <w:lang w:val="en-US" w:eastAsia="zh-CN"/>
        </w:rPr>
      </w:pPr>
      <w:r>
        <w:rPr>
          <w:rFonts w:hint="eastAsia" w:ascii="宋体" w:hAnsi="宋体" w:eastAsia="宋体" w:cs="宋体"/>
          <w:sz w:val="24"/>
          <w:szCs w:val="22"/>
          <w:highlight w:val="none"/>
        </w:rPr>
        <w:t xml:space="preserve">2</w:t>
      </w:r>
      <w:r>
        <w:rPr>
          <w:rFonts w:hint="eastAsia" w:ascii="宋体" w:hAnsi="宋体" w:eastAsia="宋体" w:cs="宋体"/>
          <w:sz w:val="24"/>
          <w:szCs w:val="22"/>
          <w:highlight w:val="none"/>
          <w:lang w:val="en-US" w:eastAsia="zh-CN"/>
        </w:rPr>
        <w:t xml:space="preserve">.旧梯拆除专项施工方案，内容包括：拆除流程、安全措施、应急预案、人员配置、机具计划、时间计划等。施工前向当地特种设备监督管理部门办理电梯报废停用手续，并提前至少3天在楼道、大堂等显著位置张贴施工公告，明确施工时间、工期、可能的影响及联系方式，提醒业主注意安全。施工过程中将人员安全（包括施工人员、业主、访客等）置于首位，</w:t>
      </w:r>
      <w:r>
        <w:rPr>
          <w:rFonts w:hint="eastAsia" w:ascii="宋体" w:hAnsi="宋体" w:eastAsia="宋体" w:cs="宋体"/>
          <w:sz w:val="24"/>
          <w:szCs w:val="22"/>
          <w:highlight w:val="none"/>
          <w:lang w:val="en-US" w:eastAsia="zh-CN"/>
        </w:rPr>
        <w:t xml:space="preserve">杜绝任何安全事故，做好安全防护，在所有层门入口处设置高度不低于1.8米的坚固护栏和警示标志，防止人员误入。在机房入口设置警示区，非工作人员禁止入内。预留安全通道，保护公共区域的地面、墙面免受设备运输损坏。现场配备合格的灭火器。作业时必须彻底切断电梯总电源（包括照明和插座电源），在电源开关处悬挂“禁止合闸，有人工作”的警示牌，并实行“上锁”管理，钥匙由现场负责人保管。确认应急发电机不会对系统反向送电。严禁使用电梯原有的曳引钢丝绳和导轨作为吊装承力点。拆除完成以后彻底清扫井道、机房、底坑，无任何垃圾和部件遗留。</w:t>
      </w:r>
      <w:r/>
    </w:p>
    <w:p>
      <w:pPr>
        <w:ind w:firstLine="480"/>
        <w:jc w:val="left"/>
        <w:spacing w:line="360" w:lineRule="auto"/>
        <w:widowControl/>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3</w:t>
      </w:r>
      <w:r>
        <w:rPr>
          <w:rFonts w:hint="eastAsia" w:ascii="宋体" w:hAnsi="宋体" w:eastAsia="宋体" w:cs="宋体"/>
          <w:sz w:val="24"/>
          <w:szCs w:val="22"/>
          <w:highlight w:val="none"/>
          <w:lang w:val="en-US" w:eastAsia="zh-CN"/>
        </w:rPr>
        <w:t xml:space="preserve">.</w:t>
      </w:r>
      <w:r>
        <w:rPr>
          <w:rFonts w:hint="eastAsia" w:ascii="宋体" w:hAnsi="宋体" w:eastAsia="宋体" w:cs="宋体"/>
          <w:sz w:val="24"/>
          <w:szCs w:val="22"/>
          <w:highlight w:val="none"/>
        </w:rPr>
        <w:t xml:space="preserve">进度计划及保障措施：投标人应根据招标文件要求及业主乘坐电梯需求等实际情况，以及目前的供货及安装条件所需配套人员及机械设备以保障产品供货、物流运输、产品到货日期、设备安装及调试等合同履行期限的要求</w:t>
      </w:r>
      <w:r>
        <w:rPr>
          <w:rFonts w:hint="eastAsia" w:ascii="宋体" w:hAnsi="宋体" w:eastAsia="宋体" w:cs="宋体"/>
          <w:sz w:val="24"/>
          <w:szCs w:val="22"/>
          <w:highlight w:val="none"/>
          <w:lang w:eastAsia="zh-CN"/>
        </w:rPr>
        <w:t xml:space="preserve">，</w:t>
      </w:r>
      <w:r>
        <w:rPr>
          <w:rFonts w:hint="eastAsia" w:ascii="宋体" w:hAnsi="宋体" w:eastAsia="宋体" w:cs="宋体"/>
          <w:sz w:val="24"/>
          <w:szCs w:val="22"/>
          <w:highlight w:val="none"/>
        </w:rPr>
        <w:t xml:space="preserve">进度安排应详细、各环节衔接紧凑、保障措施完备、方式方法应符合规范要求。</w:t>
      </w:r>
      <w:r/>
    </w:p>
    <w:p>
      <w:pPr>
        <w:ind w:firstLine="480"/>
        <w:jc w:val="left"/>
        <w:spacing w:line="360" w:lineRule="auto"/>
        <w:widowControl/>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3</w:t>
      </w:r>
      <w:r>
        <w:rPr>
          <w:rFonts w:hint="eastAsia" w:ascii="宋体" w:hAnsi="宋体" w:eastAsia="宋体" w:cs="宋体"/>
          <w:sz w:val="24"/>
          <w:szCs w:val="22"/>
          <w:highlight w:val="none"/>
        </w:rPr>
        <w:t xml:space="preserve">.1具体的项目进度安排应符合本项目实际需要，确保在合同规定的时间内完成。至少需要提供①生产方案需提供投标货物主要生产、检验、测量设备说明②供货计划需提供交货期及运输方案③进度控制需提供供货安装计划：</w:t>
      </w:r>
      <w:r/>
    </w:p>
    <w:p>
      <w:pPr>
        <w:ind w:firstLine="480"/>
        <w:jc w:val="left"/>
        <w:spacing w:line="360" w:lineRule="auto"/>
        <w:widowControl/>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（1）</w:t>
      </w:r>
      <w:r>
        <w:rPr>
          <w:rFonts w:hint="eastAsia" w:ascii="宋体" w:hAnsi="宋体" w:eastAsia="宋体" w:cs="宋体"/>
          <w:sz w:val="24"/>
          <w:szCs w:val="22"/>
          <w:highlight w:val="none"/>
          <w:lang w:eastAsia="zh-CN"/>
        </w:rPr>
        <w:t xml:space="preserve">投标人</w:t>
      </w:r>
      <w:r>
        <w:rPr>
          <w:rFonts w:hint="eastAsia" w:ascii="宋体" w:hAnsi="宋体" w:eastAsia="宋体" w:cs="宋体"/>
          <w:sz w:val="24"/>
          <w:szCs w:val="22"/>
          <w:highlight w:val="none"/>
        </w:rPr>
        <w:t xml:space="preserve">中标后，应在接到</w:t>
      </w:r>
      <w:r>
        <w:rPr>
          <w:rFonts w:hint="eastAsia" w:ascii="宋体" w:hAnsi="宋体" w:eastAsia="宋体" w:cs="宋体"/>
          <w:sz w:val="24"/>
          <w:szCs w:val="22"/>
          <w:highlight w:val="none"/>
          <w:lang w:eastAsia="zh-CN"/>
        </w:rPr>
        <w:t xml:space="preserve">采购人</w:t>
      </w:r>
      <w:r>
        <w:rPr>
          <w:rFonts w:hint="eastAsia" w:ascii="宋体" w:hAnsi="宋体" w:eastAsia="宋体" w:cs="宋体"/>
          <w:sz w:val="24"/>
          <w:szCs w:val="22"/>
          <w:highlight w:val="none"/>
        </w:rPr>
        <w:t xml:space="preserve">中标通知（合同签订）后一周内按标书要求提交详细的施工图及施工组织设计等。</w:t>
      </w:r>
      <w:r/>
    </w:p>
    <w:p>
      <w:pPr>
        <w:ind w:firstLine="480"/>
        <w:jc w:val="left"/>
        <w:spacing w:line="360" w:lineRule="auto"/>
        <w:widowControl/>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2）设备订货合同签订后，由中标方厂家工程师到现场勘查设计，所有尺寸以现场勘测的实际尺寸为准；到货后，中标方须派有资格的工程技术人员在整个电梯的安装调试的全过程中在施工现场负责安装、指导及调试，直至电梯最终验收合格并正常运行。若在安装过程中，由于中标方在安装过程中的责任导致建筑结构或其他设备被损坏，中标方需负责修理或赔偿损失。安装与调试中涉及的所有费用均应列入投标总价，而不能在执行中要求另外付费。</w:t>
      </w:r>
      <w:r/>
    </w:p>
    <w:p>
      <w:pPr>
        <w:ind w:firstLine="480"/>
        <w:jc w:val="left"/>
        <w:spacing w:line="360" w:lineRule="auto"/>
        <w:widowControl/>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4.</w:t>
      </w:r>
      <w:r>
        <w:rPr>
          <w:rFonts w:hint="eastAsia" w:ascii="宋体" w:hAnsi="宋体" w:eastAsia="宋体" w:cs="宋体"/>
          <w:sz w:val="24"/>
          <w:szCs w:val="22"/>
          <w:highlight w:val="none"/>
        </w:rPr>
        <w:t xml:space="preserve">电梯专项安装方案：投标人应根据招标文件要求，电梯拆除针对本项目电梯井道的尺寸，结合电梯井道现场实际情况（如安装所需的基坑土建、电梯井道照明、电梯井防水、电梯井原有无用的设施设备拆除以及其周围墙面及瓷砖的修复等），提供有针对性的电梯钢结构井道现场施工安装方案及安全、质量保障措施</w:t>
      </w:r>
      <w:r>
        <w:rPr>
          <w:rFonts w:hint="eastAsia" w:ascii="宋体" w:hAnsi="宋体" w:eastAsia="宋体" w:cs="宋体"/>
          <w:sz w:val="24"/>
          <w:szCs w:val="22"/>
          <w:highlight w:val="none"/>
          <w:lang w:eastAsia="zh-CN"/>
        </w:rPr>
        <w:t xml:space="preserve">，</w:t>
      </w:r>
      <w:r>
        <w:rPr>
          <w:rFonts w:hint="eastAsia" w:ascii="宋体" w:hAnsi="宋体" w:eastAsia="宋体" w:cs="宋体"/>
          <w:sz w:val="24"/>
          <w:szCs w:val="22"/>
          <w:highlight w:val="none"/>
        </w:rPr>
        <w:t xml:space="preserve">安装方案应完整、具体、流程及施工步骤、方法应符合规范要求。 </w:t>
      </w:r>
      <w:r/>
    </w:p>
    <w:p>
      <w:pPr>
        <w:ind w:firstLine="480"/>
        <w:jc w:val="left"/>
        <w:spacing w:line="360" w:lineRule="auto"/>
        <w:widowControl/>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4</w:t>
      </w:r>
      <w:r>
        <w:rPr>
          <w:rFonts w:hint="eastAsia" w:ascii="宋体" w:hAnsi="宋体" w:eastAsia="宋体" w:cs="宋体"/>
          <w:sz w:val="24"/>
          <w:szCs w:val="22"/>
          <w:highlight w:val="none"/>
        </w:rPr>
        <w:t xml:space="preserve">.1电梯的安装和调试要求需严格执行与电梯相关的国家、行业和地方的法律法规、规范规程、标准、图集的要求：</w:t>
      </w:r>
      <w:r/>
    </w:p>
    <w:p>
      <w:pPr>
        <w:ind w:firstLine="480"/>
        <w:jc w:val="left"/>
        <w:spacing w:line="360" w:lineRule="auto"/>
        <w:widowControl/>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（1）对电梯井道进行防水改造，确保一年四季电梯井道干燥，保障电梯能及时安装和调试，确保电梯运行正常。如因中标人原因造成不能及时安装和调试，由中标人承担一切责任和损失。</w:t>
      </w:r>
      <w:r/>
    </w:p>
    <w:p>
      <w:pPr>
        <w:ind w:firstLine="480"/>
        <w:jc w:val="left"/>
        <w:spacing w:line="360" w:lineRule="auto"/>
        <w:widowControl/>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（2）所投电梯必须符合中华人民共和国电梯制造与安全规范的制造、安装标准和技术规范要求，中标人须提供采购人所在地质量技术监督部门的验收合格证、运行证等。</w:t>
      </w:r>
      <w:r/>
    </w:p>
    <w:p>
      <w:pPr>
        <w:ind w:firstLine="480"/>
        <w:jc w:val="left"/>
        <w:spacing w:line="360" w:lineRule="auto"/>
        <w:widowControl/>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（3）本次采购规定的电梯设备，由中标人负责运输到项目现场，并进行整机安装、调试及试运行，政府验收合格后交付采购人。</w:t>
      </w:r>
      <w:r/>
    </w:p>
    <w:p>
      <w:pPr>
        <w:ind w:firstLine="480"/>
        <w:jc w:val="left"/>
        <w:spacing w:line="360" w:lineRule="auto"/>
        <w:widowControl/>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（4）投标人依据现场实际情况和招标文件的要求，提供具体详实的项目实施方案（必须含自收到中标通知书之日起的项目进度计划表）。</w:t>
      </w:r>
      <w:r/>
    </w:p>
    <w:p>
      <w:pPr>
        <w:ind w:firstLine="480"/>
        <w:jc w:val="left"/>
        <w:spacing w:line="360" w:lineRule="auto"/>
        <w:widowControl/>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5.</w:t>
      </w:r>
      <w:r>
        <w:rPr>
          <w:rFonts w:hint="eastAsia" w:ascii="宋体" w:hAnsi="宋体" w:eastAsia="宋体" w:cs="宋体"/>
          <w:sz w:val="24"/>
          <w:szCs w:val="22"/>
          <w:highlight w:val="none"/>
        </w:rPr>
        <w:t xml:space="preserve">电梯应急预案：投标人应按照招标文件要求制定详细的电梯应急预案，电梯安装、维保工作是特种作业，安全性要求极高，在各种工作中会出现各种各样的紧急情况，这就要求投标人对紧急情况的出现要时刻做好准备。安全第一，预防为主，出现情况能及时处置，为做到这些，投标人需根据国家标准，行业标准及市各职能部门的要求，制定应急处理方案。</w:t>
      </w:r>
      <w:r/>
    </w:p>
    <w:p>
      <w:pPr>
        <w:ind w:firstLine="480"/>
        <w:jc w:val="left"/>
        <w:spacing w:line="360" w:lineRule="auto"/>
        <w:widowControl/>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5</w:t>
      </w:r>
      <w:r>
        <w:rPr>
          <w:rFonts w:hint="eastAsia" w:ascii="宋体" w:hAnsi="宋体" w:eastAsia="宋体" w:cs="宋体"/>
          <w:sz w:val="24"/>
          <w:szCs w:val="22"/>
          <w:highlight w:val="none"/>
        </w:rPr>
        <w:t xml:space="preserve">.1接到报警或发现有乘客被困在电梯内，应立即通知保安消防监控室，同时记录接报和发现时间。</w:t>
      </w:r>
      <w:r/>
    </w:p>
    <w:p>
      <w:pPr>
        <w:ind w:firstLine="480"/>
        <w:jc w:val="left"/>
        <w:spacing w:line="360" w:lineRule="auto"/>
        <w:widowControl/>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5</w:t>
      </w:r>
      <w:r>
        <w:rPr>
          <w:rFonts w:hint="eastAsia" w:ascii="宋体" w:hAnsi="宋体" w:eastAsia="宋体" w:cs="宋体"/>
          <w:sz w:val="24"/>
          <w:szCs w:val="22"/>
          <w:highlight w:val="none"/>
        </w:rPr>
        <w:t xml:space="preserve">.2维修单位经理或值班人员接报后，应立即派人前往现场解救，同时电话通知电梯维修公司前来抢修。</w:t>
      </w:r>
      <w:r/>
    </w:p>
    <w:p>
      <w:pPr>
        <w:ind w:firstLine="480"/>
        <w:jc w:val="left"/>
        <w:spacing w:line="360" w:lineRule="auto"/>
        <w:widowControl/>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5</w:t>
      </w:r>
      <w:r>
        <w:rPr>
          <w:rFonts w:hint="eastAsia" w:ascii="宋体" w:hAnsi="宋体" w:eastAsia="宋体" w:cs="宋体"/>
          <w:sz w:val="24"/>
          <w:szCs w:val="22"/>
          <w:highlight w:val="none"/>
        </w:rPr>
        <w:t xml:space="preserve">.3若维修单位和电梯维修公司都无能力解救或短期时间内解救不了，应视情况向公安部门或消防部门求助（应说明求助原因和情况）。向公安、消防部门求助前应征得甲方的同意。</w:t>
      </w:r>
      <w:r/>
    </w:p>
    <w:p>
      <w:pPr>
        <w:ind w:firstLine="480"/>
        <w:jc w:val="left"/>
        <w:spacing w:line="360" w:lineRule="auto"/>
        <w:widowControl/>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5</w:t>
      </w:r>
      <w:r>
        <w:rPr>
          <w:rFonts w:hint="eastAsia" w:ascii="宋体" w:hAnsi="宋体" w:eastAsia="宋体" w:cs="宋体"/>
          <w:sz w:val="24"/>
          <w:szCs w:val="22"/>
          <w:highlight w:val="none"/>
        </w:rPr>
        <w:t xml:space="preserve">.4在解救过程中，若发现被困乘客中有人晕厥、神志昏迷（尤其是老人或小孩），应立即通知医护人员到场，以便被困人员救出后即可进⾏抢救。</w:t>
      </w:r>
      <w:r/>
    </w:p>
    <w:p>
      <w:pPr>
        <w:ind w:firstLine="480"/>
        <w:jc w:val="left"/>
        <w:spacing w:line="360" w:lineRule="auto"/>
        <w:widowControl/>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5</w:t>
      </w:r>
      <w:r>
        <w:rPr>
          <w:rFonts w:hint="eastAsia" w:ascii="宋体" w:hAnsi="宋体" w:eastAsia="宋体" w:cs="宋体"/>
          <w:sz w:val="24"/>
          <w:szCs w:val="22"/>
          <w:highlight w:val="none"/>
        </w:rPr>
        <w:t xml:space="preserve">.5被困者救出后，应立即请电梯维修公司查明故障原因，修复后方可恢复正常运⾏。</w:t>
      </w:r>
      <w:r/>
    </w:p>
    <w:p>
      <w:pPr>
        <w:ind w:firstLine="480"/>
        <w:jc w:val="left"/>
        <w:spacing w:line="360" w:lineRule="auto"/>
        <w:widowControl/>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5</w:t>
      </w:r>
      <w:r>
        <w:rPr>
          <w:rFonts w:hint="eastAsia" w:ascii="宋体" w:hAnsi="宋体" w:eastAsia="宋体" w:cs="宋体"/>
          <w:sz w:val="24"/>
          <w:szCs w:val="22"/>
          <w:highlight w:val="none"/>
        </w:rPr>
        <w:t xml:space="preserve">.6维修单位经理或值班人员应详细记录故障发生时间、原因、解救办法和修复时间。</w:t>
      </w:r>
      <w:r/>
    </w:p>
    <w:p>
      <w:pPr>
        <w:spacing w:line="360" w:lineRule="auto"/>
        <w:rPr>
          <w:rFonts w:hint="eastAsia" w:ascii="宋体" w:hAnsi="宋体" w:eastAsia="宋体" w:cs="Times New Roman"/>
          <w:b/>
          <w:bCs/>
          <w:sz w:val="28"/>
          <w:szCs w:val="28"/>
          <w:highlight w:val="none"/>
        </w:rPr>
        <w:outlineLvl w:val="1"/>
      </w:pPr>
      <w:r>
        <w:rPr>
          <w:rFonts w:hint="eastAsia" w:ascii="宋体" w:hAnsi="宋体" w:eastAsia="宋体" w:cs="Times New Roman"/>
          <w:b/>
          <w:bCs/>
          <w:sz w:val="28"/>
          <w:szCs w:val="28"/>
          <w:highlight w:val="none"/>
        </w:rPr>
        <w:t xml:space="preserve">七、售后服务及维保要求</w:t>
      </w:r>
      <w:r/>
    </w:p>
    <w:p>
      <w:pPr>
        <w:ind w:firstLine="48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售后服务方案：投标人应按照招标文件要求制定切实可行的售后服务方案，包括但不限于服务保障体系、技术人员配置、响应时间、紧急故障处理预案、电梯常规检查及保养、日常使用注意事项等内容，方案应满足招标文件对项目实施的要求，方案内容完整详细、故障响应时间迅速，能够针对采购项目内容要求而细化制定。 </w:t>
      </w:r>
      <w:r/>
    </w:p>
    <w:p>
      <w:pPr>
        <w:ind w:firstLine="480"/>
        <w:spacing w:line="36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（一）质保及售后技术服务要求</w:t>
      </w:r>
      <w:r/>
    </w:p>
    <w:p>
      <w:pPr>
        <w:ind w:firstLine="480"/>
        <w:jc w:val="both"/>
        <w:spacing w:line="360" w:lineRule="auto"/>
        <w:widowControl w:val="off"/>
        <w:tabs>
          <w:tab w:val="left" w:pos="1008"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1.质量保证</w:t>
      </w:r>
      <w:r/>
    </w:p>
    <w:p>
      <w:pPr>
        <w:ind w:firstLine="480"/>
        <w:jc w:val="both"/>
        <w:spacing w:line="360" w:lineRule="auto"/>
        <w:widowControl w:val="off"/>
        <w:tabs>
          <w:tab w:val="left" w:pos="1008"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1.1 投标人提供的所有货物在设计、制造、产品性能、材料的选择和材料的检验及产品的测试等方面均须符合最新发布的国家标准和技术规范。投标人在投标书中应对货物的质量保证体系和适用的标准作出说明。</w:t>
      </w:r>
      <w:r/>
    </w:p>
    <w:p>
      <w:pPr>
        <w:ind w:firstLine="480"/>
        <w:jc w:val="both"/>
        <w:spacing w:line="360" w:lineRule="auto"/>
        <w:widowControl w:val="off"/>
        <w:tabs>
          <w:tab w:val="left" w:pos="1008" w:leader="none"/>
        </w:tabs>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1.2 投标人所提供的技术规格应与招标文件技术规格规定的标准相一致或优于招标文件技术规格。若技术规格中无相应的规定，货物则应符合相应的国家标准或其原厂家最新颁布的相应的正式</w:t>
      </w:r>
      <w:r>
        <w:rPr>
          <w:rFonts w:hint="eastAsia" w:ascii="宋体" w:hAnsi="宋体" w:eastAsia="宋体" w:cs="宋体"/>
          <w:bCs/>
          <w:color w:val="000000"/>
          <w:sz w:val="24"/>
          <w:szCs w:val="24"/>
          <w:highlight w:val="none"/>
          <w:lang w:val="en-US" w:eastAsia="zh-CN" w:bidi="ar-SA"/>
        </w:rPr>
        <w:t xml:space="preserve">标准。</w:t>
      </w:r>
      <w:r/>
    </w:p>
    <w:p>
      <w:pPr>
        <w:ind w:firstLine="480"/>
        <w:jc w:val="both"/>
        <w:spacing w:line="360" w:lineRule="auto"/>
        <w:widowControl w:val="off"/>
        <w:tabs>
          <w:tab w:val="left" w:pos="1008" w:leader="none"/>
        </w:tabs>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1.3 电梯整机质量保证期：不少于</w:t>
      </w:r>
      <w:r>
        <w:rPr>
          <w:rFonts w:hint="eastAsia" w:ascii="宋体" w:hAnsi="宋体" w:eastAsia="宋体" w:cs="宋体"/>
          <w:b/>
          <w:color w:val="000000"/>
          <w:sz w:val="24"/>
          <w:szCs w:val="24"/>
          <w:highlight w:val="none"/>
          <w:u w:val="single"/>
          <w:lang w:val="en-US" w:eastAsia="zh-CN" w:bidi="ar-SA"/>
        </w:rPr>
        <w:t xml:space="preserve">五年</w:t>
      </w:r>
      <w:r>
        <w:rPr>
          <w:rFonts w:hint="eastAsia" w:ascii="宋体" w:hAnsi="宋体" w:eastAsia="宋体" w:cs="宋体"/>
          <w:bCs/>
          <w:color w:val="000000"/>
          <w:sz w:val="24"/>
          <w:szCs w:val="24"/>
          <w:highlight w:val="none"/>
          <w:lang w:val="en-US" w:eastAsia="zh-CN" w:bidi="ar-SA"/>
        </w:rPr>
        <w:t xml:space="preserve">（自电梯验收取证之日算起）。在质量保证期内，采购人按照系统使用说明书，在正常条件下使用，由于投标人设计或制造上的缺陷而发生的损坏由投标人负责。</w:t>
      </w:r>
      <w:r/>
    </w:p>
    <w:p>
      <w:pPr>
        <w:ind w:firstLine="480"/>
        <w:jc w:val="both"/>
        <w:spacing w:line="360" w:lineRule="auto"/>
        <w:widowControl w:val="off"/>
        <w:tabs>
          <w:tab w:val="left" w:pos="1008" w:leader="none"/>
        </w:tabs>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2.技术支持和服务</w:t>
      </w:r>
      <w:r/>
    </w:p>
    <w:p>
      <w:pPr>
        <w:ind w:firstLine="480"/>
        <w:jc w:val="both"/>
        <w:spacing w:line="360" w:lineRule="auto"/>
        <w:widowControl w:val="off"/>
        <w:tabs>
          <w:tab w:val="left" w:pos="1008" w:leader="none"/>
        </w:tabs>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2.1计划</w:t>
      </w:r>
      <w:r/>
    </w:p>
    <w:p>
      <w:pPr>
        <w:ind w:firstLine="480"/>
        <w:jc w:val="both"/>
        <w:spacing w:line="360" w:lineRule="auto"/>
        <w:widowControl w:val="off"/>
        <w:tabs>
          <w:tab w:val="left" w:pos="1008" w:leader="none"/>
        </w:tabs>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在合同生效后的15天内，中标人应向采购人提供一份详尽的“工作进度表”，该进度表应含：交货时间表，安装、调试计划和时间表，对采购人人员的培训计划等，并在“工作计划表”中说明采购人应具备的安装条件。</w:t>
      </w:r>
      <w:r/>
    </w:p>
    <w:p>
      <w:pPr>
        <w:ind w:firstLine="480"/>
        <w:jc w:val="both"/>
        <w:spacing w:line="360" w:lineRule="auto"/>
        <w:widowControl w:val="off"/>
        <w:tabs>
          <w:tab w:val="left" w:pos="1008"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2.2培训</w:t>
      </w:r>
      <w:r/>
    </w:p>
    <w:p>
      <w:pPr>
        <w:ind w:firstLine="480"/>
        <w:jc w:val="both"/>
        <w:spacing w:line="360" w:lineRule="auto"/>
        <w:widowControl w:val="off"/>
        <w:tabs>
          <w:tab w:val="left" w:pos="1008"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 中标人应为采购人培训设备维修及操作人员3名，使采购人能够尽快地熟悉设备的性能和使用，直至能够独立操作</w:t>
      </w:r>
      <w:r>
        <w:rPr>
          <w:rFonts w:hint="eastAsia" w:ascii="宋体" w:hAnsi="宋体" w:cs="宋体"/>
          <w:bCs/>
          <w:sz w:val="24"/>
          <w:szCs w:val="24"/>
          <w:highlight w:val="none"/>
          <w:lang w:val="en-US" w:eastAsia="zh-CN" w:bidi="ar-SA"/>
        </w:rPr>
        <w:t xml:space="preserve">，</w:t>
      </w:r>
      <w:r>
        <w:rPr>
          <w:rFonts w:hint="eastAsia" w:ascii="宋体" w:hAnsi="宋体" w:eastAsia="宋体" w:cs="宋体"/>
          <w:bCs/>
          <w:sz w:val="24"/>
          <w:szCs w:val="24"/>
          <w:highlight w:val="none"/>
          <w:lang w:val="en-US" w:eastAsia="zh-CN" w:bidi="ar-SA"/>
        </w:rPr>
        <w:t xml:space="preserve">时间和地点由投标人自报</w:t>
      </w:r>
      <w:r>
        <w:rPr>
          <w:rFonts w:hint="eastAsia" w:ascii="宋体" w:hAnsi="宋体" w:cs="宋体"/>
          <w:bCs/>
          <w:sz w:val="24"/>
          <w:szCs w:val="24"/>
          <w:highlight w:val="none"/>
          <w:lang w:val="en-US" w:eastAsia="zh-CN" w:bidi="ar-SA"/>
        </w:rPr>
        <w:t xml:space="preserve">，相关</w:t>
      </w:r>
      <w:r>
        <w:rPr>
          <w:rFonts w:ascii="Segoe UI" w:hAnsi="Segoe UI" w:eastAsia="Segoe UI" w:cs="Segoe UI"/>
          <w:i w:val="0"/>
          <w:iCs w:val="0"/>
          <w:caps w:val="0"/>
          <w:spacing w:val="0"/>
          <w:sz w:val="21"/>
          <w:szCs w:val="21"/>
          <w:shd w:val="clear" w:color="auto" w:fill="ffffff"/>
        </w:rPr>
        <w:t xml:space="preserve">培训费用包含在投标总价中</w:t>
      </w:r>
      <w:r>
        <w:rPr>
          <w:rFonts w:hint="eastAsia" w:ascii="Segoe UI" w:hAnsi="Segoe UI" w:eastAsia="宋体" w:cs="Segoe UI"/>
          <w:i w:val="0"/>
          <w:iCs w:val="0"/>
          <w:caps w:val="0"/>
          <w:spacing w:val="0"/>
          <w:sz w:val="21"/>
          <w:szCs w:val="21"/>
          <w:shd w:val="clear" w:color="auto" w:fill="ffffff"/>
          <w:lang w:eastAsia="zh-CN"/>
        </w:rPr>
        <w:t xml:space="preserve">。</w:t>
      </w:r>
      <w:r/>
    </w:p>
    <w:p>
      <w:pPr>
        <w:ind w:firstLine="480"/>
        <w:jc w:val="both"/>
        <w:spacing w:line="360" w:lineRule="auto"/>
        <w:widowControl w:val="off"/>
        <w:tabs>
          <w:tab w:val="left" w:pos="1008"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3.质量保证期内的服务</w:t>
      </w:r>
      <w:r/>
    </w:p>
    <w:p>
      <w:pPr>
        <w:ind w:firstLine="480"/>
        <w:jc w:val="both"/>
        <w:spacing w:line="360" w:lineRule="auto"/>
        <w:widowControl w:val="off"/>
        <w:tabs>
          <w:tab w:val="left" w:pos="1008"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3.1零、部件更换</w:t>
      </w:r>
      <w:r/>
    </w:p>
    <w:p>
      <w:pPr>
        <w:ind w:firstLine="480"/>
        <w:jc w:val="both"/>
        <w:spacing w:line="360" w:lineRule="auto"/>
        <w:widowControl w:val="off"/>
        <w:tabs>
          <w:tab w:val="left" w:pos="1008"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对由于零、部件质量问题造成的零、部件损坏，投标人将提供现场服务，免费维修更换损坏的零、部件。由于采购人人为原因造成的零、部件损坏，投标人有义务对损坏零、部件作有偿的维修更换。更换后的质量保证期不少于原有质保期。质保期内的易损件、消耗品由投标人免费提供。</w:t>
      </w:r>
      <w:r/>
    </w:p>
    <w:p>
      <w:pPr>
        <w:ind w:firstLine="480"/>
        <w:jc w:val="both"/>
        <w:spacing w:line="360" w:lineRule="auto"/>
        <w:widowControl w:val="off"/>
        <w:tabs>
          <w:tab w:val="left" w:pos="1008"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3.2故障响应</w:t>
      </w:r>
      <w:r/>
    </w:p>
    <w:p>
      <w:pPr>
        <w:ind w:firstLine="480"/>
        <w:jc w:val="both"/>
        <w:spacing w:line="360" w:lineRule="auto"/>
        <w:widowControl w:val="off"/>
        <w:tabs>
          <w:tab w:val="left" w:pos="1008"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中标人所提供的设备在质量保证期内发生故障时，采购人应立即通知中标方。对于操作故障，中标方应在接到故障通知即时给予解答。对于设备故障，中标方应在接到故障通知后</w:t>
      </w:r>
      <w:r>
        <w:rPr>
          <w:rFonts w:hint="eastAsia" w:ascii="宋体" w:hAnsi="宋体" w:eastAsia="宋体" w:cs="宋体"/>
          <w:color w:val="auto"/>
          <w:spacing w:val="4"/>
          <w:sz w:val="24"/>
          <w:szCs w:val="24"/>
          <w:lang w:val="en-US" w:eastAsia="zh-CN"/>
        </w:rPr>
        <w:t xml:space="preserve">2小时</w:t>
      </w:r>
      <w:r>
        <w:rPr>
          <w:rFonts w:hint="eastAsia" w:ascii="宋体" w:hAnsi="宋体" w:eastAsia="宋体" w:cs="宋体"/>
          <w:bCs/>
          <w:sz w:val="24"/>
          <w:szCs w:val="24"/>
          <w:highlight w:val="none"/>
          <w:lang w:val="en-US" w:eastAsia="zh-CN" w:bidi="ar-SA"/>
        </w:rPr>
        <w:t xml:space="preserve">内派技术人员到达现场。在接到采购人故障通知后，若投标人在应该到达现场的情况下而未能到达现场，采购人有权另请有资质的单位维修，其费用由中标方承担。</w:t>
      </w:r>
      <w:r/>
    </w:p>
    <w:p>
      <w:pPr>
        <w:ind w:firstLine="480"/>
        <w:jc w:val="both"/>
        <w:spacing w:line="360" w:lineRule="auto"/>
        <w:widowControl w:val="off"/>
        <w:tabs>
          <w:tab w:val="left" w:pos="1008"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3.3软件升级</w:t>
      </w:r>
      <w:r/>
    </w:p>
    <w:p>
      <w:pPr>
        <w:ind w:firstLine="480"/>
        <w:jc w:val="both"/>
        <w:spacing w:line="360" w:lineRule="auto"/>
        <w:widowControl w:val="off"/>
        <w:tabs>
          <w:tab w:val="left" w:pos="1008"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 中标人有责任及时向采购方通报软件升级情况，中标人应免费提供软件升级服务。</w:t>
      </w:r>
      <w:r/>
    </w:p>
    <w:p>
      <w:pPr>
        <w:ind w:firstLine="480"/>
        <w:jc w:val="both"/>
        <w:spacing w:line="360" w:lineRule="auto"/>
        <w:widowControl w:val="off"/>
        <w:tabs>
          <w:tab w:val="left" w:pos="1008"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4.质保期满后的售后服务</w:t>
      </w:r>
      <w:r/>
    </w:p>
    <w:p>
      <w:pPr>
        <w:ind w:firstLine="480"/>
        <w:jc w:val="both"/>
        <w:spacing w:line="360" w:lineRule="auto"/>
        <w:widowControl w:val="off"/>
        <w:tabs>
          <w:tab w:val="left" w:pos="1008"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4.1中标方对中标货物及服务在质保期满后，中标方应继续对采购方使用过程中的设备损坏进行售后服务，履行好自己在投标文件中的承诺。</w:t>
      </w:r>
      <w:r/>
    </w:p>
    <w:p>
      <w:pPr>
        <w:ind w:firstLine="480"/>
        <w:jc w:val="both"/>
        <w:spacing w:line="360" w:lineRule="auto"/>
        <w:widowControl w:val="off"/>
        <w:tabs>
          <w:tab w:val="left" w:pos="1008"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4.2设备要求实行终身保修，质量保证期后采购方如委托中标方进行维护保养，请报五年不变维保价（包括每年维修保养的人工费、配件费、年检费，大、中、小修的人工费、配件费等所有费用），并详细列出维保内容。</w:t>
      </w:r>
      <w:r/>
    </w:p>
    <w:p>
      <w:pPr>
        <w:ind w:firstLine="482"/>
        <w:jc w:val="both"/>
        <w:spacing w:line="360" w:lineRule="auto"/>
        <w:widowControl w:val="off"/>
        <w:tabs>
          <w:tab w:val="left" w:pos="1008" w:leader="none"/>
        </w:tabs>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（二）维修与保养</w:t>
      </w:r>
      <w:r/>
    </w:p>
    <w:p>
      <w:pPr>
        <w:ind w:firstLine="480"/>
        <w:jc w:val="both"/>
        <w:spacing w:line="360" w:lineRule="auto"/>
        <w:widowControl w:val="off"/>
        <w:tabs>
          <w:tab w:val="left" w:pos="1008"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1.电梯整机维修保养期限：不少于</w:t>
      </w:r>
      <w:r>
        <w:rPr>
          <w:rFonts w:hint="eastAsia" w:ascii="宋体" w:hAnsi="宋体" w:eastAsia="宋体" w:cs="宋体"/>
          <w:b/>
          <w:color w:val="auto"/>
          <w:sz w:val="24"/>
          <w:szCs w:val="24"/>
          <w:highlight w:val="none"/>
          <w:u w:val="single"/>
          <w:lang w:val="en-US" w:eastAsia="zh-CN" w:bidi="ar-SA"/>
        </w:rPr>
        <w:t xml:space="preserve">5年 </w:t>
      </w:r>
      <w:r>
        <w:rPr>
          <w:rFonts w:hint="eastAsia" w:ascii="宋体" w:hAnsi="宋体" w:eastAsia="宋体" w:cs="宋体"/>
          <w:bCs/>
          <w:color w:val="auto"/>
          <w:sz w:val="24"/>
          <w:szCs w:val="24"/>
          <w:highlight w:val="none"/>
          <w:lang w:val="en-US" w:eastAsia="zh-CN" w:bidi="ar-SA"/>
        </w:rPr>
        <w:t xml:space="preserve">（自电梯验收取证之日算起）。</w:t>
      </w:r>
      <w:r/>
    </w:p>
    <w:p>
      <w:pPr>
        <w:ind w:firstLine="480"/>
        <w:jc w:val="both"/>
        <w:spacing w:line="360" w:lineRule="auto"/>
        <w:widowControl w:val="off"/>
        <w:tabs>
          <w:tab w:val="left" w:pos="1008" w:leader="none"/>
        </w:tabs>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w:t>
      </w:r>
      <w:r>
        <w:rPr>
          <w:rFonts w:hint="eastAsia" w:ascii="宋体" w:hAnsi="宋体" w:cs="宋体"/>
          <w:bCs/>
          <w:color w:val="auto"/>
          <w:sz w:val="24"/>
          <w:szCs w:val="24"/>
          <w:highlight w:val="none"/>
          <w:lang w:val="en-US" w:eastAsia="zh-CN" w:bidi="ar-SA"/>
        </w:rPr>
        <w:t xml:space="preserve">.</w:t>
      </w:r>
      <w:r>
        <w:rPr>
          <w:rFonts w:hint="eastAsia" w:ascii="宋体" w:hAnsi="宋体" w:eastAsia="宋体" w:cs="宋体"/>
          <w:color w:val="auto"/>
          <w:spacing w:val="1"/>
          <w:sz w:val="24"/>
          <w:szCs w:val="24"/>
        </w:rPr>
        <w:t xml:space="preserve">中标单位后期维保必须</w:t>
      </w:r>
      <w:r>
        <w:rPr>
          <w:rFonts w:ascii="宋体" w:hAnsi="宋体" w:eastAsia="宋体" w:cs="宋体"/>
          <w:color w:val="auto"/>
          <w:spacing w:val="1"/>
          <w:sz w:val="24"/>
          <w:szCs w:val="24"/>
        </w:rPr>
        <w:t xml:space="preserve">取得项目所在地县级及以上主管部门的备案证明材料。如若后期由制造商分公司或分支机构）直接进行维保的，维保单位必须取得项目所在地县级及以上主管部门的备案证</w:t>
      </w:r>
      <w:r>
        <w:rPr>
          <w:rFonts w:ascii="宋体" w:hAnsi="宋体" w:eastAsia="宋体" w:cs="宋体"/>
          <w:color w:val="auto"/>
          <w:spacing w:val="-1"/>
          <w:sz w:val="24"/>
          <w:szCs w:val="24"/>
        </w:rPr>
        <w:t xml:space="preserve">明材料。具有类似产品的维护、保养经验。</w:t>
      </w:r>
      <w:r/>
    </w:p>
    <w:p>
      <w:pPr>
        <w:ind w:firstLine="480"/>
        <w:jc w:val="both"/>
        <w:spacing w:line="360" w:lineRule="auto"/>
        <w:widowControl w:val="off"/>
        <w:tabs>
          <w:tab w:val="left" w:pos="1008"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3.中标人应以低于市场价的优惠价格提供易损件。</w:t>
      </w:r>
      <w:r/>
    </w:p>
    <w:p>
      <w:pPr>
        <w:ind w:firstLine="480"/>
        <w:jc w:val="both"/>
        <w:spacing w:line="360" w:lineRule="auto"/>
        <w:widowControl w:val="off"/>
        <w:tabs>
          <w:tab w:val="left" w:pos="1008"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4.保养电梯每年一次全面整梯检修，并视不同易损部件实行1～6个月定期检修、维护。</w:t>
      </w:r>
      <w:r/>
    </w:p>
    <w:p>
      <w:pPr>
        <w:ind w:firstLine="480"/>
        <w:jc w:val="left"/>
        <w:spacing w:line="360" w:lineRule="auto"/>
        <w:widowControl/>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5.</w:t>
      </w:r>
      <w:r>
        <w:rPr>
          <w:rFonts w:hint="eastAsia" w:ascii="宋体" w:hAnsi="宋体" w:eastAsia="宋体" w:cs="宋体"/>
          <w:sz w:val="24"/>
          <w:szCs w:val="22"/>
          <w:highlight w:val="none"/>
        </w:rPr>
        <w:t xml:space="preserve">在运行中出现紧急故障时（如人员被困电梯等），在接到报警电话后 0.</w:t>
      </w:r>
      <w:r>
        <w:rPr>
          <w:rFonts w:hint="eastAsia" w:ascii="宋体" w:hAnsi="宋体" w:eastAsia="宋体" w:cs="宋体"/>
          <w:sz w:val="24"/>
          <w:szCs w:val="22"/>
          <w:highlight w:val="none"/>
          <w:lang w:val="en-US" w:eastAsia="zh-CN"/>
        </w:rPr>
        <w:t xml:space="preserve">2</w:t>
      </w:r>
      <w:r>
        <w:rPr>
          <w:rFonts w:hint="eastAsia" w:ascii="宋体" w:hAnsi="宋体" w:eastAsia="宋体" w:cs="宋体"/>
          <w:sz w:val="24"/>
          <w:szCs w:val="22"/>
          <w:highlight w:val="none"/>
        </w:rPr>
        <w:t xml:space="preserve"> 小时内予以响应，</w:t>
      </w:r>
      <w:r>
        <w:rPr>
          <w:rFonts w:hint="eastAsia" w:ascii="宋体" w:hAnsi="宋体" w:cs="宋体"/>
          <w:sz w:val="24"/>
          <w:szCs w:val="22"/>
          <w:highlight w:val="none"/>
          <w:lang w:val="en-US" w:eastAsia="zh-CN"/>
        </w:rPr>
        <w:t xml:space="preserve">30</w:t>
      </w:r>
      <w:r>
        <w:rPr>
          <w:rFonts w:hint="eastAsia" w:ascii="宋体" w:hAnsi="宋体" w:eastAsia="宋体" w:cs="宋体"/>
          <w:sz w:val="24"/>
          <w:szCs w:val="22"/>
          <w:highlight w:val="none"/>
          <w:lang w:val="en-US" w:eastAsia="zh-CN"/>
        </w:rPr>
        <w:t xml:space="preserve">分钟</w:t>
      </w:r>
      <w:r>
        <w:rPr>
          <w:rFonts w:hint="eastAsia" w:ascii="宋体" w:hAnsi="宋体" w:eastAsia="宋体" w:cs="宋体"/>
          <w:sz w:val="24"/>
          <w:szCs w:val="22"/>
          <w:highlight w:val="none"/>
        </w:rPr>
        <w:t xml:space="preserve">内派技术人员到达现场解决。</w:t>
      </w:r>
      <w:r/>
    </w:p>
    <w:p>
      <w:pPr>
        <w:spacing w:line="360" w:lineRule="auto"/>
        <w:rPr>
          <w:rFonts w:hint="eastAsia" w:ascii="宋体" w:hAnsi="宋体" w:eastAsia="宋体" w:cs="Times New Roman"/>
          <w:b/>
          <w:bCs/>
          <w:sz w:val="28"/>
          <w:szCs w:val="28"/>
          <w:highlight w:val="none"/>
        </w:rPr>
        <w:outlineLvl w:val="1"/>
      </w:pPr>
      <w:r>
        <w:rPr>
          <w:rFonts w:hint="eastAsia" w:ascii="宋体" w:hAnsi="宋体" w:eastAsia="宋体" w:cs="Times New Roman"/>
          <w:b/>
          <w:bCs/>
          <w:sz w:val="28"/>
          <w:szCs w:val="28"/>
          <w:highlight w:val="none"/>
        </w:rPr>
        <w:t xml:space="preserve">八、其他要求</w:t>
      </w:r>
      <w:r/>
    </w:p>
    <w:p>
      <w:pPr>
        <w:ind w:firstLine="480"/>
        <w:spacing w:line="360" w:lineRule="auto"/>
        <w:rPr>
          <w:rFonts w:hint="eastAsia" w:ascii="宋体" w:hAnsi="宋体" w:eastAsia="黑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1.投标总报价应包括但不限于以下费用：所投货物（包含与货物相关的服务）费用、拆除费、安装费（含拆除及安装施工用水电费、电梯安装所需的全部主辅材料、人工费、机械费、措施费等）、调试费、测试验收费、培训费、售后服务费用、税金、电梯监检费（取得电梯运行合格证）及其他有关的为完成本项目发生的所有费用。</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rPr>
        <w:t xml:space="preserve">.</w:t>
      </w:r>
      <w:r>
        <w:rPr>
          <w:rFonts w:hint="eastAsia" w:ascii="宋体" w:hAnsi="宋体" w:eastAsia="宋体" w:cs="宋体"/>
          <w:sz w:val="24"/>
          <w:szCs w:val="24"/>
          <w:highlight w:val="none"/>
        </w:rPr>
        <w:t xml:space="preserve">各潜在投标人应自行踏勘现场，充分理解采购人使用需求，必须保证产品的功能性和完整性，未在清单中明示的辅材、配件及安装调试费已含在报价内，如项目实施过程中因缺少配件、辅材导致产品无法正常运行，中标人须免费提供。井道施工中，如涉及到建筑物拆除恢复及恢复、电梯基坑、土建安装、钢结构施工及措施费（安全文明施工、二次搬运、地上、地下设施、建筑物的临时保护设施、已完工程及设备保护、临时设施、脚手架、模板、机械吊装等）等所有费用均包含在投标报价内。</w:t>
      </w:r>
      <w:r/>
    </w:p>
    <w:p>
      <w:pPr>
        <w:ind w:firstLine="480"/>
        <w:spacing w:line="360" w:lineRule="auto"/>
        <w:rPr>
          <w:rFonts w:hint="default" w:ascii="Calibri" w:hAnsi="Calibri" w:eastAsia="宋体" w:cs="仿宋_GB2312"/>
          <w:sz w:val="24"/>
          <w:szCs w:val="22"/>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rPr>
        <w:t xml:space="preserve">.</w:t>
      </w:r>
      <w:r>
        <w:rPr>
          <w:rFonts w:hint="eastAsia" w:ascii="Calibri" w:hAnsi="Calibri" w:eastAsia="宋体" w:cs="仿宋_GB2312"/>
          <w:sz w:val="24"/>
          <w:szCs w:val="22"/>
          <w:highlight w:val="none"/>
        </w:rPr>
        <w:t xml:space="preserve">商品包装、快递包装政府采购需求标准（试行）</w:t>
      </w:r>
      <w:r/>
    </w:p>
    <w:p>
      <w:pPr>
        <w:ind w:firstLine="480"/>
        <w:spacing w:line="360" w:lineRule="auto"/>
        <w:rPr>
          <w:rFonts w:hint="eastAsia" w:ascii="Calibri" w:hAnsi="Calibri" w:eastAsia="宋体" w:cs="仿宋_GB2312"/>
          <w:sz w:val="24"/>
          <w:szCs w:val="22"/>
          <w:highlight w:val="none"/>
        </w:rPr>
      </w:pPr>
      <w:r>
        <w:rPr>
          <w:rFonts w:hint="eastAsia" w:ascii="Calibri" w:hAnsi="Calibri" w:eastAsia="宋体" w:cs="仿宋_GB2312"/>
          <w:sz w:val="24"/>
          <w:szCs w:val="22"/>
          <w:highlight w:val="none"/>
        </w:rPr>
        <w:t xml:space="preserve">为助力打好污染防治攻坚战，推广使用绿色包装，本项目涉及商品包装和快递包装的应符合财政部印发的《商品包装政府采购需求标准（试行）》、《快递包装政府采购需求标准（试行）》规定。</w:t>
      </w:r>
      <w:bookmarkEnd w:id="123"/>
      <w:r/>
      <w:bookmarkEnd w:id="124"/>
      <w:r/>
      <w:bookmarkEnd w:id="125"/>
      <w:r/>
      <w:bookmarkEnd w:id="126"/>
      <w:r/>
      <w:bookmarkEnd w:id="127"/>
      <w:r/>
      <w:bookmarkStart w:id="133" w:name="_Toc81575207"/>
      <w:r/>
      <w:bookmarkStart w:id="134" w:name="_Toc9003"/>
      <w:r/>
      <w:bookmarkStart w:id="135" w:name="_Toc12937"/>
      <w:r/>
      <w:bookmarkStart w:id="136" w:name="_Toc22853"/>
      <w:r/>
      <w:bookmarkStart w:id="137" w:name="_Toc19649"/>
      <w:r/>
      <w:bookmarkStart w:id="138" w:name="_Toc81575170"/>
      <w:r/>
      <w:r/>
    </w:p>
    <w:p>
      <w:pPr>
        <w:pStyle w:val="715"/>
        <w:jc w:val="both"/>
        <w:spacing w:before="200"/>
        <w:rPr>
          <w:rFonts w:hint="eastAsia"/>
          <w:lang w:val="en-US" w:eastAsia="zh-CN"/>
        </w:rPr>
      </w:pPr>
      <w:r>
        <w:rPr>
          <w:rFonts w:hint="eastAsia" w:ascii="Calibri" w:hAnsi="Calibri" w:eastAsia="宋体" w:cs="Times New Roman"/>
          <w:b/>
          <w:color w:val="auto"/>
          <w:sz w:val="44"/>
          <w:szCs w:val="44"/>
          <w:highlight w:val="none"/>
          <w:lang w:val="en-US" w:eastAsia="zh-CN"/>
        </w:rPr>
        <w:t xml:space="preserve">      </w:t>
      </w:r>
      <w:r/>
    </w:p>
    <w:p>
      <w:pPr>
        <w:pStyle w:val="715"/>
        <w:jc w:val="both"/>
        <w:spacing w:before="200"/>
        <w:rPr>
          <w:rFonts w:hint="eastAsia" w:ascii="Calibri" w:hAnsi="Calibri" w:eastAsia="宋体" w:cs="Times New Roman"/>
          <w:b/>
          <w:color w:val="auto"/>
          <w:sz w:val="44"/>
          <w:szCs w:val="44"/>
          <w:highlight w:val="none"/>
        </w:rPr>
      </w:pPr>
      <w:r>
        <w:rPr>
          <w:rFonts w:hint="eastAsia" w:ascii="Calibri" w:hAnsi="Calibri" w:eastAsia="宋体" w:cs="Times New Roman"/>
          <w:b/>
          <w:color w:val="auto"/>
          <w:sz w:val="44"/>
          <w:szCs w:val="44"/>
          <w:highlight w:val="none"/>
          <w:lang w:val="en-US" w:eastAsia="zh-CN"/>
        </w:rPr>
        <w:t xml:space="preserve">          </w:t>
      </w:r>
      <w:r>
        <w:rPr>
          <w:rFonts w:hint="eastAsia" w:ascii="Calibri" w:hAnsi="Calibri" w:eastAsia="宋体" w:cs="Times New Roman"/>
          <w:b/>
          <w:color w:val="auto"/>
          <w:sz w:val="44"/>
          <w:szCs w:val="44"/>
          <w:highlight w:val="none"/>
        </w:rPr>
        <w:t xml:space="preserve">第五章</w:t>
      </w:r>
      <w:r>
        <w:rPr>
          <w:rFonts w:ascii="Calibri" w:hAnsi="Calibri" w:eastAsia="宋体" w:cs="Times New Roman"/>
          <w:b/>
          <w:color w:val="auto"/>
          <w:sz w:val="44"/>
          <w:szCs w:val="44"/>
          <w:highlight w:val="none"/>
        </w:rPr>
        <w:t xml:space="preserve">  </w:t>
      </w:r>
      <w:r>
        <w:rPr>
          <w:rFonts w:hint="eastAsia" w:ascii="Calibri" w:hAnsi="Calibri" w:eastAsia="宋体" w:cs="Times New Roman"/>
          <w:b/>
          <w:color w:val="auto"/>
          <w:sz w:val="44"/>
          <w:szCs w:val="44"/>
          <w:highlight w:val="none"/>
        </w:rPr>
        <w:t xml:space="preserve">合同文本</w:t>
      </w:r>
      <w:bookmarkStart w:id="139" w:name="_Toc16938559"/>
      <w:r/>
      <w:bookmarkStart w:id="140" w:name="_Toc513029243"/>
      <w:r/>
      <w:bookmarkStart w:id="141" w:name="_Toc20823315"/>
      <w:r/>
      <w:bookmarkEnd w:id="139"/>
      <w:bookmarkEnd w:id="140"/>
      <w:bookmarkEnd w:id="141"/>
      <w:r/>
    </w:p>
    <w:p>
      <w:pPr>
        <w:ind w:firstLine="480"/>
        <w:spacing w:line="360" w:lineRule="auto"/>
        <w:rPr>
          <w:rFonts w:hint="eastAsia" w:ascii="仿宋" w:hAnsi="仿宋" w:eastAsia="仿宋"/>
          <w:b/>
          <w:sz w:val="36"/>
          <w:szCs w:val="36"/>
        </w:rPr>
      </w:pPr>
      <w:r>
        <w:rPr>
          <w:rFonts w:hint="eastAsia" w:ascii="仿宋" w:hAnsi="仿宋" w:eastAsia="仿宋"/>
          <w:b/>
          <w:sz w:val="36"/>
          <w:szCs w:val="36"/>
        </w:rPr>
        <w:t xml:space="preserve"> 合同格式及条款（适用各采购包）</w:t>
      </w:r>
      <w:r/>
    </w:p>
    <w:p>
      <w:pPr>
        <w:ind w:firstLine="560"/>
        <w:spacing w:line="520" w:lineRule="exact"/>
        <w:tabs>
          <w:tab w:val="left" w:pos="180" w:leader="none"/>
        </w:tabs>
        <w:rPr>
          <w:rFonts w:hint="eastAsia" w:ascii="仿宋" w:hAnsi="仿宋" w:eastAsia="仿宋"/>
          <w:sz w:val="32"/>
        </w:rPr>
      </w:pPr>
      <w:r>
        <w:rPr>
          <w:rFonts w:hint="eastAsia" w:ascii="仿宋" w:hAnsi="仿宋" w:eastAsia="仿宋"/>
          <w:bCs/>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p>
    <w:p>
      <w:pPr>
        <w:pStyle w:val="1196"/>
        <w:ind w:firstLine="3066"/>
        <w:spacing w:line="520" w:lineRule="exact"/>
        <w:rPr>
          <w:rFonts w:hint="eastAsia" w:ascii="仿宋" w:hAnsi="仿宋" w:eastAsia="仿宋"/>
          <w:sz w:val="28"/>
          <w:szCs w:val="28"/>
        </w:rPr>
      </w:pPr>
      <w:r>
        <w:rPr>
          <w:rFonts w:hint="eastAsia" w:ascii="仿宋" w:hAnsi="仿宋" w:eastAsia="仿宋"/>
          <w:sz w:val="28"/>
          <w:szCs w:val="28"/>
        </w:rPr>
      </w:r>
      <w:r/>
    </w:p>
    <w:p>
      <w:pPr>
        <w:pStyle w:val="1196"/>
        <w:ind w:firstLine="3066"/>
        <w:spacing w:line="520" w:lineRule="exact"/>
        <w:rPr>
          <w:rFonts w:hint="eastAsia" w:ascii="仿宋" w:hAnsi="仿宋" w:eastAsia="仿宋"/>
          <w:sz w:val="28"/>
          <w:szCs w:val="28"/>
        </w:rPr>
      </w:pPr>
      <w:r>
        <w:rPr>
          <w:rFonts w:hint="eastAsia" w:ascii="仿宋" w:hAnsi="仿宋" w:eastAsia="仿宋"/>
          <w:sz w:val="28"/>
          <w:szCs w:val="28"/>
        </w:rPr>
        <w:t xml:space="preserve">一、合同格式</w:t>
      </w:r>
      <w:r/>
    </w:p>
    <w:p>
      <w:pPr>
        <w:jc w:val="left"/>
        <w:spacing w:line="520" w:lineRule="exact"/>
        <w:rPr>
          <w:rFonts w:ascii="仿宋" w:hAnsi="仿宋" w:eastAsia="仿宋" w:cs="Arial Unicode MS"/>
          <w:sz w:val="28"/>
          <w:szCs w:val="28"/>
        </w:rPr>
      </w:pPr>
      <w:r>
        <w:rPr>
          <w:rFonts w:hint="eastAsia" w:ascii="仿宋" w:hAnsi="仿宋" w:eastAsia="仿宋" w:cs="Arial Unicode MS"/>
          <w:sz w:val="28"/>
          <w:szCs w:val="28"/>
        </w:rPr>
        <w:t xml:space="preserve">甲方</w:t>
      </w:r>
      <w:r>
        <w:rPr>
          <w:rFonts w:ascii="仿宋" w:hAnsi="仿宋" w:eastAsia="仿宋" w:cs="Arial Unicode MS"/>
          <w:sz w:val="28"/>
          <w:szCs w:val="28"/>
        </w:rPr>
        <w:t xml:space="preserve">: </w:t>
      </w:r>
      <w:r/>
    </w:p>
    <w:p>
      <w:pPr>
        <w:pStyle w:val="1196"/>
        <w:spacing w:line="520" w:lineRule="exact"/>
        <w:rPr>
          <w:rFonts w:hint="eastAsia" w:ascii="仿宋" w:hAnsi="仿宋" w:eastAsia="仿宋"/>
          <w:sz w:val="28"/>
          <w:szCs w:val="28"/>
        </w:rPr>
      </w:pPr>
      <w:r>
        <w:rPr>
          <w:rFonts w:hint="eastAsia" w:ascii="仿宋" w:hAnsi="仿宋" w:eastAsia="仿宋" w:cs="Arial Unicode MS"/>
          <w:sz w:val="28"/>
          <w:szCs w:val="28"/>
        </w:rPr>
        <w:t xml:space="preserve">乙方</w:t>
      </w:r>
      <w:r>
        <w:rPr>
          <w:rFonts w:ascii="仿宋" w:hAnsi="仿宋" w:eastAsia="仿宋" w:cs="Arial Unicode MS"/>
          <w:sz w:val="28"/>
          <w:szCs w:val="28"/>
        </w:rPr>
        <w:t xml:space="preserve">:</w:t>
      </w:r>
      <w:r/>
    </w:p>
    <w:p>
      <w:pPr>
        <w:pStyle w:val="1196"/>
        <w:ind w:firstLine="635"/>
        <w:spacing w:line="520" w:lineRule="exact"/>
        <w:rPr>
          <w:rFonts w:hint="eastAsia" w:ascii="仿宋" w:hAnsi="仿宋" w:eastAsia="仿宋"/>
          <w:sz w:val="28"/>
          <w:szCs w:val="28"/>
        </w:rPr>
      </w:pPr>
      <w:r>
        <w:rPr>
          <w:rFonts w:hint="eastAsia" w:ascii="仿宋" w:hAnsi="仿宋" w:eastAsia="仿宋"/>
          <w:sz w:val="28"/>
          <w:szCs w:val="28"/>
        </w:rPr>
        <w:t xml:space="preserve">甲、乙双方根据项目编号</w:t>
      </w:r>
      <w:r>
        <w:rPr>
          <w:rFonts w:hint="eastAsia" w:ascii="仿宋" w:hAnsi="仿宋" w:eastAsia="仿宋"/>
          <w:sz w:val="28"/>
          <w:szCs w:val="28"/>
          <w:u w:val="single"/>
        </w:rPr>
        <w:t xml:space="preserve">          </w:t>
      </w:r>
      <w:r>
        <w:rPr>
          <w:rFonts w:hint="eastAsia" w:ascii="仿宋" w:hAnsi="仿宋" w:eastAsia="仿宋"/>
          <w:sz w:val="28"/>
          <w:szCs w:val="28"/>
        </w:rPr>
        <w:t xml:space="preserve">的</w:t>
      </w:r>
      <w:r>
        <w:rPr>
          <w:rFonts w:hint="eastAsia" w:ascii="仿宋" w:hAnsi="仿宋" w:eastAsia="仿宋"/>
          <w:sz w:val="28"/>
          <w:szCs w:val="28"/>
          <w:u w:val="single"/>
        </w:rPr>
        <w:t xml:space="preserve"> （项目名称及采购包号） </w:t>
      </w:r>
      <w:r>
        <w:rPr>
          <w:rFonts w:hint="eastAsia" w:ascii="仿宋" w:hAnsi="仿宋" w:eastAsia="仿宋"/>
          <w:sz w:val="28"/>
          <w:szCs w:val="28"/>
        </w:rPr>
        <w:t xml:space="preserve">采购项目公开招标采购结果及招标文件的要求</w:t>
      </w:r>
      <w:r>
        <w:rPr>
          <w:rFonts w:ascii="仿宋" w:hAnsi="仿宋" w:eastAsia="仿宋"/>
          <w:sz w:val="28"/>
          <w:szCs w:val="28"/>
        </w:rPr>
        <w:t xml:space="preserve">,</w:t>
      </w:r>
      <w:r>
        <w:rPr>
          <w:rFonts w:hint="eastAsia" w:ascii="仿宋" w:hAnsi="仿宋" w:eastAsia="仿宋"/>
          <w:sz w:val="28"/>
          <w:szCs w:val="28"/>
        </w:rPr>
        <w:t xml:space="preserve">经协商一致</w:t>
      </w:r>
      <w:r>
        <w:rPr>
          <w:rFonts w:ascii="仿宋" w:hAnsi="仿宋" w:eastAsia="仿宋"/>
          <w:sz w:val="28"/>
          <w:szCs w:val="28"/>
        </w:rPr>
        <w:t xml:space="preserve">,</w:t>
      </w:r>
      <w:r>
        <w:rPr>
          <w:rFonts w:hint="eastAsia" w:ascii="仿宋" w:hAnsi="仿宋" w:eastAsia="仿宋"/>
          <w:sz w:val="28"/>
          <w:szCs w:val="28"/>
        </w:rPr>
        <w:t xml:space="preserve">达成如下购销合同</w:t>
      </w:r>
      <w:r>
        <w:rPr>
          <w:rFonts w:ascii="仿宋" w:hAnsi="仿宋" w:eastAsia="仿宋"/>
          <w:sz w:val="28"/>
          <w:szCs w:val="28"/>
        </w:rPr>
        <w:t xml:space="preserve">:</w:t>
      </w:r>
      <w:r/>
    </w:p>
    <w:p>
      <w:pPr>
        <w:pStyle w:val="1196"/>
        <w:ind w:left="-359" w:firstLine="963"/>
        <w:spacing w:line="520" w:lineRule="exact"/>
        <w:rPr>
          <w:rFonts w:hint="eastAsia" w:ascii="仿宋" w:hAnsi="仿宋" w:eastAsia="仿宋"/>
          <w:sz w:val="28"/>
        </w:rPr>
      </w:pPr>
      <w:r>
        <w:rPr>
          <w:rFonts w:hint="eastAsia" w:ascii="仿宋" w:hAnsi="仿宋" w:eastAsia="仿宋"/>
          <w:sz w:val="28"/>
          <w:szCs w:val="28"/>
        </w:rPr>
        <w:t xml:space="preserve">一</w:t>
      </w:r>
      <w:r>
        <w:rPr>
          <w:rFonts w:hint="eastAsia" w:ascii="仿宋" w:hAnsi="仿宋" w:eastAsia="仿宋"/>
          <w:sz w:val="28"/>
        </w:rPr>
        <w:t xml:space="preserve">、货物及数量</w:t>
      </w:r>
      <w:r/>
    </w:p>
    <w:p>
      <w:pPr>
        <w:pStyle w:val="1196"/>
        <w:ind w:firstLine="560"/>
        <w:spacing w:line="520" w:lineRule="exact"/>
        <w:rPr>
          <w:rFonts w:hint="eastAsia" w:ascii="仿宋" w:hAnsi="仿宋" w:eastAsia="仿宋"/>
          <w:sz w:val="28"/>
          <w:szCs w:val="24"/>
        </w:rPr>
      </w:pPr>
      <w:r>
        <w:rPr>
          <w:rFonts w:hint="eastAsia" w:ascii="仿宋" w:hAnsi="仿宋" w:eastAsia="仿宋"/>
          <w:sz w:val="28"/>
          <w:szCs w:val="24"/>
        </w:rPr>
        <w:t xml:space="preserve">本合同所提供的货物及数量详见“项目</w:t>
      </w:r>
      <w:r>
        <w:rPr>
          <w:rFonts w:hint="eastAsia" w:ascii="仿宋" w:hAnsi="仿宋" w:eastAsia="仿宋"/>
          <w:sz w:val="28"/>
        </w:rPr>
        <w:t xml:space="preserve">采购需求</w:t>
      </w:r>
      <w:r>
        <w:rPr>
          <w:rFonts w:hint="eastAsia" w:ascii="仿宋" w:hAnsi="仿宋" w:eastAsia="仿宋"/>
          <w:sz w:val="28"/>
          <w:szCs w:val="24"/>
        </w:rPr>
        <w:t xml:space="preserve">”。</w:t>
      </w:r>
      <w:r/>
    </w:p>
    <w:p>
      <w:pPr>
        <w:pStyle w:val="1196"/>
        <w:ind w:left="-359" w:firstLine="963"/>
        <w:spacing w:line="520" w:lineRule="exact"/>
        <w:rPr>
          <w:rFonts w:hint="eastAsia" w:ascii="仿宋" w:hAnsi="仿宋" w:eastAsia="仿宋"/>
          <w:sz w:val="28"/>
        </w:rPr>
      </w:pPr>
      <w:r>
        <w:rPr>
          <w:rFonts w:hint="eastAsia" w:ascii="仿宋" w:hAnsi="仿宋" w:eastAsia="仿宋"/>
          <w:sz w:val="28"/>
        </w:rPr>
        <w:t xml:space="preserve">二、合同金额</w:t>
      </w:r>
      <w:r/>
    </w:p>
    <w:tbl>
      <w:tblPr>
        <w:tblStyle w:val="673"/>
        <w:tblpPr w:horzAnchor="page" w:tblpXSpec="center" w:vertAnchor="text" w:tblpY="431" w:leftFromText="180" w:topFromText="0" w:rightFromText="180" w:bottomFromText="0"/>
        <w:tblW w:w="497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6"/>
        <w:gridCol w:w="496"/>
        <w:gridCol w:w="1056"/>
        <w:gridCol w:w="1196"/>
        <w:gridCol w:w="666"/>
        <w:gridCol w:w="1056"/>
        <w:gridCol w:w="1056"/>
        <w:gridCol w:w="3322"/>
      </w:tblGrid>
      <w:tr>
        <w:trPr>
          <w:jc w:val="center"/>
          <w:trHeight w:val="816"/>
        </w:trPr>
        <w:tc>
          <w:tcPr>
            <w:tcW w:w="339" w:type="dxa"/>
            <w:vAlign w:val="center"/>
            <w:textDirection w:val="lrTb"/>
            <w:noWrap w:val="false"/>
          </w:tcPr>
          <w:p>
            <w:pPr>
              <w:contextualSpacing/>
              <w:jc w:val="center"/>
              <w:rPr>
                <w:rFonts w:hint="eastAsia" w:ascii="仿宋" w:hAnsi="仿宋" w:eastAsia="仿宋" w:cs="仿宋"/>
                <w:sz w:val="28"/>
                <w:szCs w:val="28"/>
              </w:rPr>
            </w:pPr>
            <w:r>
              <w:rPr>
                <w:rFonts w:hint="eastAsia" w:ascii="仿宋" w:hAnsi="仿宋" w:eastAsia="仿宋" w:cs="仿宋"/>
                <w:sz w:val="28"/>
                <w:szCs w:val="28"/>
              </w:rPr>
              <w:t xml:space="preserve">序号</w:t>
            </w:r>
            <w:r/>
          </w:p>
        </w:tc>
        <w:tc>
          <w:tcPr>
            <w:tcW w:w="342" w:type="dxa"/>
            <w:vAlign w:val="center"/>
            <w:textDirection w:val="lrTb"/>
            <w:noWrap w:val="false"/>
          </w:tcPr>
          <w:p>
            <w:pPr>
              <w:contextualSpacing/>
              <w:jc w:val="center"/>
              <w:rPr>
                <w:rFonts w:hint="eastAsia" w:ascii="仿宋" w:hAnsi="仿宋" w:eastAsia="仿宋" w:cs="仿宋"/>
                <w:sz w:val="28"/>
                <w:szCs w:val="28"/>
              </w:rPr>
            </w:pPr>
            <w:r>
              <w:rPr>
                <w:rFonts w:hint="eastAsia" w:ascii="仿宋" w:hAnsi="仿宋" w:eastAsia="仿宋" w:cs="仿宋"/>
                <w:sz w:val="28"/>
                <w:szCs w:val="28"/>
              </w:rPr>
              <w:t xml:space="preserve">型号</w:t>
            </w:r>
            <w:r/>
          </w:p>
        </w:tc>
        <w:tc>
          <w:tcPr>
            <w:tcW w:w="746" w:type="dxa"/>
            <w:vAlign w:val="center"/>
            <w:textDirection w:val="lrTb"/>
            <w:noWrap w:val="false"/>
          </w:tcPr>
          <w:p>
            <w:pPr>
              <w:contextualSpacing/>
              <w:jc w:val="center"/>
              <w:rPr>
                <w:rFonts w:hint="eastAsia" w:ascii="仿宋" w:hAnsi="仿宋" w:eastAsia="仿宋" w:cs="仿宋"/>
                <w:sz w:val="28"/>
                <w:szCs w:val="28"/>
              </w:rPr>
            </w:pPr>
            <w:r>
              <w:rPr>
                <w:rFonts w:hint="eastAsia" w:ascii="仿宋" w:hAnsi="仿宋" w:eastAsia="仿宋" w:cs="仿宋"/>
                <w:sz w:val="28"/>
                <w:szCs w:val="28"/>
              </w:rPr>
              <w:t xml:space="preserve">载重（KG）</w:t>
            </w:r>
            <w:r/>
          </w:p>
        </w:tc>
        <w:tc>
          <w:tcPr>
            <w:tcW w:w="776" w:type="dxa"/>
            <w:vAlign w:val="center"/>
            <w:textDirection w:val="lrTb"/>
            <w:noWrap w:val="false"/>
          </w:tcPr>
          <w:p>
            <w:pPr>
              <w:contextualSpacing/>
              <w:jc w:val="center"/>
              <w:rPr>
                <w:rFonts w:hint="eastAsia" w:ascii="仿宋" w:hAnsi="仿宋" w:eastAsia="仿宋" w:cs="仿宋"/>
                <w:sz w:val="28"/>
                <w:szCs w:val="28"/>
              </w:rPr>
            </w:pPr>
            <w:r>
              <w:rPr>
                <w:rFonts w:hint="eastAsia" w:ascii="仿宋" w:hAnsi="仿宋" w:eastAsia="仿宋" w:cs="仿宋"/>
                <w:sz w:val="28"/>
                <w:szCs w:val="28"/>
              </w:rPr>
              <w:t xml:space="preserve">速度（M/S）</w:t>
            </w:r>
            <w:r/>
          </w:p>
        </w:tc>
        <w:tc>
          <w:tcPr>
            <w:tcW w:w="682" w:type="dxa"/>
            <w:vAlign w:val="center"/>
            <w:textDirection w:val="lrTb"/>
            <w:noWrap w:val="false"/>
          </w:tcPr>
          <w:p>
            <w:pPr>
              <w:contextualSpacing/>
              <w:jc w:val="center"/>
              <w:rPr>
                <w:rFonts w:hint="eastAsia" w:ascii="仿宋" w:hAnsi="仿宋" w:eastAsia="仿宋" w:cs="仿宋"/>
                <w:sz w:val="28"/>
                <w:szCs w:val="28"/>
              </w:rPr>
            </w:pPr>
            <w:r>
              <w:rPr>
                <w:rFonts w:hint="eastAsia" w:ascii="仿宋" w:hAnsi="仿宋" w:eastAsia="仿宋" w:cs="仿宋"/>
                <w:sz w:val="28"/>
                <w:szCs w:val="28"/>
              </w:rPr>
              <w:t xml:space="preserve">层站(层/站/门)</w:t>
            </w:r>
            <w:r/>
          </w:p>
        </w:tc>
        <w:tc>
          <w:tcPr>
            <w:tcW w:w="697" w:type="dxa"/>
            <w:vAlign w:val="center"/>
            <w:textDirection w:val="lrTb"/>
            <w:noWrap w:val="false"/>
          </w:tcPr>
          <w:p>
            <w:pPr>
              <w:contextualSpacing/>
              <w:jc w:val="center"/>
              <w:rPr>
                <w:rFonts w:hint="eastAsia" w:ascii="仿宋" w:hAnsi="仿宋" w:eastAsia="仿宋" w:cs="仿宋"/>
                <w:sz w:val="28"/>
                <w:szCs w:val="28"/>
              </w:rPr>
            </w:pPr>
            <w:r>
              <w:rPr>
                <w:rFonts w:hint="eastAsia" w:ascii="仿宋" w:hAnsi="仿宋" w:eastAsia="仿宋" w:cs="仿宋"/>
                <w:sz w:val="28"/>
                <w:szCs w:val="28"/>
              </w:rPr>
              <w:t xml:space="preserve">价格（元）</w:t>
            </w:r>
            <w:r/>
          </w:p>
        </w:tc>
        <w:tc>
          <w:tcPr>
            <w:tcW w:w="700" w:type="dxa"/>
            <w:vAlign w:val="center"/>
            <w:textDirection w:val="lrTb"/>
            <w:noWrap w:val="false"/>
          </w:tcPr>
          <w:p>
            <w:pPr>
              <w:contextualSpacing/>
              <w:jc w:val="center"/>
              <w:rPr>
                <w:rFonts w:hint="eastAsia" w:ascii="仿宋" w:hAnsi="仿宋" w:eastAsia="仿宋" w:cs="仿宋"/>
                <w:sz w:val="28"/>
                <w:szCs w:val="28"/>
              </w:rPr>
            </w:pPr>
            <w:r>
              <w:rPr>
                <w:rFonts w:hint="eastAsia" w:ascii="仿宋" w:hAnsi="仿宋" w:eastAsia="仿宋" w:cs="仿宋"/>
                <w:sz w:val="28"/>
                <w:szCs w:val="28"/>
              </w:rPr>
              <w:t xml:space="preserve">数量（台）</w:t>
            </w:r>
            <w:r/>
          </w:p>
        </w:tc>
        <w:tc>
          <w:tcPr>
            <w:tcW w:w="714" w:type="dxa"/>
            <w:vAlign w:val="center"/>
            <w:textDirection w:val="lrTb"/>
            <w:noWrap w:val="false"/>
          </w:tcPr>
          <w:p>
            <w:pPr>
              <w:contextualSpacing/>
              <w:jc w:val="center"/>
              <w:rPr>
                <w:rFonts w:hint="eastAsia" w:ascii="仿宋" w:hAnsi="仿宋" w:eastAsia="仿宋" w:cs="仿宋"/>
                <w:sz w:val="28"/>
                <w:szCs w:val="28"/>
              </w:rPr>
            </w:pPr>
            <w:r>
              <w:rPr>
                <w:rFonts w:hint="eastAsia" w:ascii="仿宋" w:hAnsi="仿宋" w:eastAsia="仿宋" w:cs="仿宋"/>
                <w:sz w:val="28"/>
                <w:szCs w:val="28"/>
              </w:rPr>
              <w:t xml:space="preserve">合计（元）</w:t>
            </w:r>
            <w:r/>
          </w:p>
        </w:tc>
      </w:tr>
      <w:tr>
        <w:trPr>
          <w:jc w:val="center"/>
          <w:trHeight w:val="577"/>
        </w:trPr>
        <w:tc>
          <w:tcPr>
            <w:tcW w:w="339" w:type="dxa"/>
            <w:vAlign w:val="center"/>
            <w:textDirection w:val="lrTb"/>
            <w:noWrap w:val="false"/>
          </w:tcPr>
          <w:p>
            <w:pPr>
              <w:contextualSpacing/>
              <w:jc w:val="center"/>
              <w:rPr>
                <w:rFonts w:hint="eastAsia" w:ascii="仿宋" w:hAnsi="仿宋" w:eastAsia="仿宋" w:cs="仿宋"/>
                <w:sz w:val="28"/>
                <w:szCs w:val="28"/>
              </w:rPr>
            </w:pPr>
            <w:r>
              <w:rPr>
                <w:rFonts w:hint="eastAsia" w:ascii="仿宋" w:hAnsi="仿宋" w:eastAsia="仿宋" w:cs="仿宋"/>
                <w:sz w:val="28"/>
                <w:szCs w:val="28"/>
              </w:rPr>
            </w:r>
            <w:r/>
          </w:p>
        </w:tc>
        <w:tc>
          <w:tcPr>
            <w:tcW w:w="342" w:type="dxa"/>
            <w:vAlign w:val="center"/>
            <w:textDirection w:val="lrTb"/>
            <w:noWrap w:val="false"/>
          </w:tcPr>
          <w:p>
            <w:pPr>
              <w:contextualSpacing/>
              <w:jc w:val="center"/>
              <w:rPr>
                <w:rFonts w:hint="eastAsia" w:ascii="仿宋" w:hAnsi="仿宋" w:eastAsia="仿宋" w:cs="仿宋"/>
                <w:sz w:val="28"/>
                <w:szCs w:val="28"/>
              </w:rPr>
            </w:pPr>
            <w:r>
              <w:rPr>
                <w:rFonts w:hint="eastAsia" w:ascii="仿宋" w:hAnsi="仿宋" w:eastAsia="仿宋" w:cs="仿宋"/>
                <w:sz w:val="28"/>
                <w:szCs w:val="28"/>
              </w:rPr>
            </w:r>
            <w:r/>
          </w:p>
        </w:tc>
        <w:tc>
          <w:tcPr>
            <w:tcW w:w="746" w:type="dxa"/>
            <w:vAlign w:val="center"/>
            <w:textDirection w:val="lrTb"/>
            <w:noWrap w:val="false"/>
          </w:tcPr>
          <w:p>
            <w:pPr>
              <w:contextualSpacing/>
              <w:jc w:val="center"/>
              <w:rPr>
                <w:rFonts w:hint="eastAsia" w:ascii="仿宋" w:hAnsi="仿宋" w:eastAsia="仿宋" w:cs="仿宋"/>
                <w:sz w:val="28"/>
                <w:szCs w:val="28"/>
              </w:rPr>
            </w:pPr>
            <w:r>
              <w:rPr>
                <w:rFonts w:hint="eastAsia" w:ascii="仿宋" w:hAnsi="仿宋" w:eastAsia="仿宋" w:cs="仿宋"/>
                <w:sz w:val="28"/>
                <w:szCs w:val="28"/>
              </w:rPr>
            </w:r>
            <w:r/>
          </w:p>
        </w:tc>
        <w:tc>
          <w:tcPr>
            <w:tcW w:w="776" w:type="dxa"/>
            <w:vAlign w:val="center"/>
            <w:textDirection w:val="lrTb"/>
            <w:noWrap w:val="false"/>
          </w:tcPr>
          <w:p>
            <w:pPr>
              <w:jc w:val="center"/>
              <w:tabs>
                <w:tab w:val="left" w:pos="142" w:leader="none"/>
              </w:tabs>
              <w:rPr>
                <w:rFonts w:hint="eastAsia" w:ascii="仿宋" w:hAnsi="仿宋" w:eastAsia="仿宋" w:cs="仿宋"/>
                <w:sz w:val="28"/>
                <w:szCs w:val="28"/>
              </w:rPr>
            </w:pPr>
            <w:r>
              <w:rPr>
                <w:rFonts w:hint="eastAsia" w:ascii="仿宋" w:hAnsi="仿宋" w:eastAsia="仿宋" w:cs="仿宋"/>
                <w:sz w:val="28"/>
                <w:szCs w:val="28"/>
              </w:rPr>
            </w:r>
            <w:r/>
          </w:p>
        </w:tc>
        <w:tc>
          <w:tcPr>
            <w:tcW w:w="682" w:type="dxa"/>
            <w:vAlign w:val="center"/>
            <w:textDirection w:val="lrTb"/>
            <w:noWrap w:val="false"/>
          </w:tcPr>
          <w:p>
            <w:pPr>
              <w:contextualSpacing/>
              <w:jc w:val="center"/>
              <w:rPr>
                <w:rFonts w:hint="eastAsia" w:ascii="仿宋" w:hAnsi="仿宋" w:eastAsia="仿宋" w:cs="仿宋"/>
                <w:sz w:val="28"/>
                <w:szCs w:val="28"/>
              </w:rPr>
            </w:pPr>
            <w:r>
              <w:rPr>
                <w:rFonts w:hint="eastAsia" w:ascii="仿宋" w:hAnsi="仿宋" w:eastAsia="仿宋" w:cs="仿宋"/>
                <w:sz w:val="28"/>
                <w:szCs w:val="28"/>
              </w:rPr>
            </w:r>
            <w:r/>
          </w:p>
        </w:tc>
        <w:tc>
          <w:tcPr>
            <w:tcW w:w="697" w:type="dxa"/>
            <w:vAlign w:val="center"/>
            <w:textDirection w:val="lrTb"/>
            <w:noWrap w:val="false"/>
          </w:tcPr>
          <w:p>
            <w:pPr>
              <w:contextualSpacing/>
              <w:jc w:val="right"/>
              <w:rPr>
                <w:rFonts w:hint="eastAsia" w:ascii="仿宋" w:hAnsi="仿宋" w:eastAsia="仿宋" w:cs="仿宋"/>
                <w:sz w:val="28"/>
                <w:szCs w:val="28"/>
              </w:rPr>
            </w:pPr>
            <w:r>
              <w:rPr>
                <w:rFonts w:hint="eastAsia" w:ascii="仿宋" w:hAnsi="仿宋" w:eastAsia="仿宋" w:cs="仿宋"/>
                <w:sz w:val="28"/>
                <w:szCs w:val="28"/>
              </w:rPr>
            </w:r>
            <w:r/>
          </w:p>
        </w:tc>
        <w:tc>
          <w:tcPr>
            <w:tcW w:w="700" w:type="dxa"/>
            <w:vAlign w:val="center"/>
            <w:textDirection w:val="lrTb"/>
            <w:noWrap w:val="false"/>
          </w:tcPr>
          <w:p>
            <w:pPr>
              <w:contextualSpacing/>
              <w:jc w:val="center"/>
              <w:rPr>
                <w:rFonts w:hint="eastAsia" w:ascii="仿宋" w:hAnsi="仿宋" w:eastAsia="仿宋" w:cs="仿宋"/>
                <w:sz w:val="28"/>
                <w:szCs w:val="28"/>
              </w:rPr>
            </w:pPr>
            <w:r>
              <w:rPr>
                <w:rFonts w:hint="eastAsia" w:ascii="仿宋" w:hAnsi="仿宋" w:eastAsia="仿宋" w:cs="仿宋"/>
                <w:sz w:val="28"/>
                <w:szCs w:val="28"/>
              </w:rPr>
            </w:r>
            <w:r/>
          </w:p>
        </w:tc>
        <w:tc>
          <w:tcPr>
            <w:tcW w:w="714" w:type="dxa"/>
            <w:vAlign w:val="center"/>
            <w:textDirection w:val="lrTb"/>
            <w:noWrap w:val="false"/>
          </w:tcPr>
          <w:p>
            <w:pPr>
              <w:contextualSpacing/>
              <w:jc w:val="center"/>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577"/>
        </w:trPr>
        <w:tc>
          <w:tcPr>
            <w:tcW w:w="339" w:type="dxa"/>
            <w:vAlign w:val="center"/>
            <w:textDirection w:val="lrTb"/>
            <w:noWrap w:val="false"/>
          </w:tcPr>
          <w:p>
            <w:pPr>
              <w:contextualSpacing/>
              <w:jc w:val="center"/>
              <w:rPr>
                <w:rFonts w:hint="eastAsia" w:ascii="仿宋" w:hAnsi="仿宋" w:eastAsia="仿宋" w:cs="仿宋"/>
                <w:sz w:val="28"/>
                <w:szCs w:val="28"/>
              </w:rPr>
            </w:pPr>
            <w:r>
              <w:rPr>
                <w:rFonts w:hint="eastAsia" w:ascii="仿宋" w:hAnsi="仿宋" w:eastAsia="仿宋" w:cs="仿宋"/>
                <w:sz w:val="28"/>
                <w:szCs w:val="28"/>
              </w:rPr>
            </w:r>
            <w:r/>
          </w:p>
        </w:tc>
        <w:tc>
          <w:tcPr>
            <w:tcW w:w="342" w:type="dxa"/>
            <w:vAlign w:val="center"/>
            <w:textDirection w:val="lrTb"/>
            <w:noWrap w:val="false"/>
          </w:tcPr>
          <w:p>
            <w:pPr>
              <w:contextualSpacing/>
              <w:jc w:val="center"/>
              <w:rPr>
                <w:rFonts w:hint="eastAsia" w:ascii="仿宋" w:hAnsi="仿宋" w:eastAsia="仿宋" w:cs="仿宋"/>
                <w:sz w:val="28"/>
                <w:szCs w:val="28"/>
              </w:rPr>
            </w:pPr>
            <w:r>
              <w:rPr>
                <w:rFonts w:hint="eastAsia" w:ascii="仿宋" w:hAnsi="仿宋" w:eastAsia="仿宋" w:cs="仿宋"/>
                <w:sz w:val="28"/>
                <w:szCs w:val="28"/>
              </w:rPr>
            </w:r>
            <w:r/>
          </w:p>
        </w:tc>
        <w:tc>
          <w:tcPr>
            <w:tcW w:w="746" w:type="dxa"/>
            <w:vAlign w:val="center"/>
            <w:textDirection w:val="lrTb"/>
            <w:noWrap w:val="false"/>
          </w:tcPr>
          <w:p>
            <w:pPr>
              <w:contextualSpacing/>
              <w:jc w:val="center"/>
              <w:rPr>
                <w:rFonts w:hint="eastAsia" w:ascii="仿宋" w:hAnsi="仿宋" w:eastAsia="仿宋" w:cs="仿宋"/>
                <w:sz w:val="28"/>
                <w:szCs w:val="28"/>
              </w:rPr>
            </w:pPr>
            <w:r>
              <w:rPr>
                <w:rFonts w:hint="eastAsia" w:ascii="仿宋" w:hAnsi="仿宋" w:eastAsia="仿宋" w:cs="仿宋"/>
                <w:sz w:val="28"/>
                <w:szCs w:val="28"/>
              </w:rPr>
            </w:r>
            <w:r/>
          </w:p>
        </w:tc>
        <w:tc>
          <w:tcPr>
            <w:tcW w:w="776" w:type="dxa"/>
            <w:vAlign w:val="center"/>
            <w:textDirection w:val="lrTb"/>
            <w:noWrap w:val="false"/>
          </w:tcPr>
          <w:p>
            <w:pPr>
              <w:jc w:val="center"/>
              <w:tabs>
                <w:tab w:val="left" w:pos="142" w:leader="none"/>
              </w:tabs>
              <w:rPr>
                <w:rFonts w:hint="eastAsia" w:ascii="仿宋" w:hAnsi="仿宋" w:eastAsia="仿宋" w:cs="仿宋"/>
                <w:sz w:val="28"/>
                <w:szCs w:val="28"/>
              </w:rPr>
            </w:pPr>
            <w:r>
              <w:rPr>
                <w:rFonts w:hint="eastAsia" w:ascii="仿宋" w:hAnsi="仿宋" w:eastAsia="仿宋" w:cs="仿宋"/>
                <w:sz w:val="28"/>
                <w:szCs w:val="28"/>
              </w:rPr>
            </w:r>
            <w:r/>
          </w:p>
        </w:tc>
        <w:tc>
          <w:tcPr>
            <w:tcW w:w="682" w:type="dxa"/>
            <w:vAlign w:val="center"/>
            <w:textDirection w:val="lrTb"/>
            <w:noWrap w:val="false"/>
          </w:tcPr>
          <w:p>
            <w:pPr>
              <w:contextualSpacing/>
              <w:jc w:val="center"/>
              <w:rPr>
                <w:rFonts w:hint="eastAsia" w:ascii="仿宋" w:hAnsi="仿宋" w:eastAsia="仿宋" w:cs="仿宋"/>
                <w:sz w:val="28"/>
                <w:szCs w:val="28"/>
              </w:rPr>
            </w:pPr>
            <w:r>
              <w:rPr>
                <w:rFonts w:hint="eastAsia" w:ascii="仿宋" w:hAnsi="仿宋" w:eastAsia="仿宋" w:cs="仿宋"/>
                <w:sz w:val="28"/>
                <w:szCs w:val="28"/>
              </w:rPr>
            </w:r>
            <w:r/>
          </w:p>
        </w:tc>
        <w:tc>
          <w:tcPr>
            <w:tcW w:w="697" w:type="dxa"/>
            <w:vAlign w:val="center"/>
            <w:textDirection w:val="lrTb"/>
            <w:noWrap w:val="false"/>
          </w:tcPr>
          <w:p>
            <w:pPr>
              <w:contextualSpacing/>
              <w:jc w:val="center"/>
              <w:rPr>
                <w:rFonts w:hint="eastAsia" w:ascii="仿宋" w:hAnsi="仿宋" w:eastAsia="仿宋" w:cs="仿宋"/>
                <w:sz w:val="28"/>
                <w:szCs w:val="28"/>
              </w:rPr>
            </w:pPr>
            <w:r>
              <w:rPr>
                <w:rFonts w:hint="eastAsia" w:ascii="仿宋" w:hAnsi="仿宋" w:eastAsia="仿宋" w:cs="仿宋"/>
                <w:sz w:val="28"/>
                <w:szCs w:val="28"/>
              </w:rPr>
            </w:r>
            <w:r/>
          </w:p>
        </w:tc>
        <w:tc>
          <w:tcPr>
            <w:tcW w:w="700" w:type="dxa"/>
            <w:vAlign w:val="center"/>
            <w:textDirection w:val="lrTb"/>
            <w:noWrap w:val="false"/>
          </w:tcPr>
          <w:p>
            <w:pPr>
              <w:contextualSpacing/>
              <w:jc w:val="center"/>
              <w:rPr>
                <w:rFonts w:hint="eastAsia" w:ascii="仿宋" w:hAnsi="仿宋" w:eastAsia="仿宋" w:cs="仿宋"/>
                <w:sz w:val="28"/>
                <w:szCs w:val="28"/>
              </w:rPr>
            </w:pPr>
            <w:r>
              <w:rPr>
                <w:rFonts w:hint="eastAsia" w:ascii="仿宋" w:hAnsi="仿宋" w:eastAsia="仿宋" w:cs="仿宋"/>
                <w:sz w:val="28"/>
                <w:szCs w:val="28"/>
              </w:rPr>
            </w:r>
            <w:r/>
          </w:p>
        </w:tc>
        <w:tc>
          <w:tcPr>
            <w:tcW w:w="714" w:type="dxa"/>
            <w:vAlign w:val="center"/>
            <w:textDirection w:val="lrTb"/>
            <w:noWrap w:val="false"/>
          </w:tcPr>
          <w:p>
            <w:pPr>
              <w:contextualSpacing/>
              <w:jc w:val="center"/>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577"/>
        </w:trPr>
        <w:tc>
          <w:tcPr>
            <w:tcW w:w="339" w:type="dxa"/>
            <w:vAlign w:val="center"/>
            <w:textDirection w:val="lrTb"/>
            <w:noWrap w:val="false"/>
          </w:tcPr>
          <w:p>
            <w:pPr>
              <w:contextualSpacing/>
              <w:jc w:val="center"/>
              <w:rPr>
                <w:rFonts w:hint="eastAsia" w:ascii="仿宋" w:hAnsi="仿宋" w:eastAsia="仿宋" w:cs="仿宋"/>
                <w:sz w:val="28"/>
                <w:szCs w:val="28"/>
              </w:rPr>
            </w:pPr>
            <w:r>
              <w:rPr>
                <w:rFonts w:hint="eastAsia" w:ascii="仿宋" w:hAnsi="仿宋" w:eastAsia="仿宋" w:cs="仿宋"/>
                <w:sz w:val="28"/>
                <w:szCs w:val="28"/>
              </w:rPr>
            </w:r>
            <w:r/>
          </w:p>
        </w:tc>
        <w:tc>
          <w:tcPr>
            <w:tcW w:w="342" w:type="dxa"/>
            <w:vAlign w:val="center"/>
            <w:textDirection w:val="lrTb"/>
            <w:noWrap w:val="false"/>
          </w:tcPr>
          <w:p>
            <w:pPr>
              <w:contextualSpacing/>
              <w:jc w:val="center"/>
              <w:rPr>
                <w:rFonts w:hint="eastAsia" w:ascii="仿宋" w:hAnsi="仿宋" w:eastAsia="仿宋" w:cs="仿宋"/>
                <w:sz w:val="28"/>
                <w:szCs w:val="28"/>
              </w:rPr>
            </w:pPr>
            <w:r>
              <w:rPr>
                <w:rFonts w:hint="eastAsia" w:ascii="仿宋" w:hAnsi="仿宋" w:eastAsia="仿宋" w:cs="仿宋"/>
                <w:sz w:val="28"/>
                <w:szCs w:val="28"/>
              </w:rPr>
            </w:r>
            <w:r/>
          </w:p>
        </w:tc>
        <w:tc>
          <w:tcPr>
            <w:tcW w:w="746" w:type="dxa"/>
            <w:vAlign w:val="center"/>
            <w:textDirection w:val="lrTb"/>
            <w:noWrap w:val="false"/>
          </w:tcPr>
          <w:p>
            <w:pPr>
              <w:contextualSpacing/>
              <w:jc w:val="center"/>
              <w:rPr>
                <w:rFonts w:hint="eastAsia" w:ascii="仿宋" w:hAnsi="仿宋" w:eastAsia="仿宋" w:cs="仿宋"/>
                <w:sz w:val="28"/>
                <w:szCs w:val="28"/>
              </w:rPr>
            </w:pPr>
            <w:r>
              <w:rPr>
                <w:rFonts w:hint="eastAsia" w:ascii="仿宋" w:hAnsi="仿宋" w:eastAsia="仿宋" w:cs="仿宋"/>
                <w:sz w:val="28"/>
                <w:szCs w:val="28"/>
              </w:rPr>
            </w:r>
            <w:r/>
          </w:p>
        </w:tc>
        <w:tc>
          <w:tcPr>
            <w:tcW w:w="776" w:type="dxa"/>
            <w:vAlign w:val="center"/>
            <w:textDirection w:val="lrTb"/>
            <w:noWrap w:val="false"/>
          </w:tcPr>
          <w:p>
            <w:pPr>
              <w:jc w:val="center"/>
              <w:tabs>
                <w:tab w:val="left" w:pos="142" w:leader="none"/>
              </w:tabs>
              <w:rPr>
                <w:rFonts w:hint="eastAsia" w:ascii="仿宋" w:hAnsi="仿宋" w:eastAsia="仿宋" w:cs="仿宋"/>
                <w:sz w:val="28"/>
                <w:szCs w:val="28"/>
              </w:rPr>
            </w:pPr>
            <w:r>
              <w:rPr>
                <w:rFonts w:hint="eastAsia" w:ascii="仿宋" w:hAnsi="仿宋" w:eastAsia="仿宋" w:cs="仿宋"/>
                <w:sz w:val="28"/>
                <w:szCs w:val="28"/>
              </w:rPr>
            </w:r>
            <w:r/>
          </w:p>
        </w:tc>
        <w:tc>
          <w:tcPr>
            <w:tcW w:w="682" w:type="dxa"/>
            <w:vAlign w:val="center"/>
            <w:textDirection w:val="lrTb"/>
            <w:noWrap w:val="false"/>
          </w:tcPr>
          <w:p>
            <w:pPr>
              <w:contextualSpacing/>
              <w:jc w:val="center"/>
              <w:rPr>
                <w:rFonts w:hint="eastAsia" w:ascii="仿宋" w:hAnsi="仿宋" w:eastAsia="仿宋" w:cs="仿宋"/>
                <w:sz w:val="28"/>
                <w:szCs w:val="28"/>
              </w:rPr>
            </w:pPr>
            <w:r>
              <w:rPr>
                <w:rFonts w:hint="eastAsia" w:ascii="仿宋" w:hAnsi="仿宋" w:eastAsia="仿宋" w:cs="仿宋"/>
                <w:sz w:val="28"/>
                <w:szCs w:val="28"/>
              </w:rPr>
            </w:r>
            <w:r/>
          </w:p>
        </w:tc>
        <w:tc>
          <w:tcPr>
            <w:tcW w:w="697" w:type="dxa"/>
            <w:vAlign w:val="center"/>
            <w:textDirection w:val="lrTb"/>
            <w:noWrap w:val="false"/>
          </w:tcPr>
          <w:p>
            <w:pPr>
              <w:contextualSpacing/>
              <w:jc w:val="center"/>
              <w:rPr>
                <w:rFonts w:hint="eastAsia" w:ascii="仿宋" w:hAnsi="仿宋" w:eastAsia="仿宋" w:cs="仿宋"/>
                <w:sz w:val="28"/>
                <w:szCs w:val="28"/>
              </w:rPr>
            </w:pPr>
            <w:r>
              <w:rPr>
                <w:rFonts w:hint="eastAsia" w:ascii="仿宋" w:hAnsi="仿宋" w:eastAsia="仿宋" w:cs="仿宋"/>
                <w:sz w:val="28"/>
                <w:szCs w:val="28"/>
              </w:rPr>
            </w:r>
            <w:r/>
          </w:p>
        </w:tc>
        <w:tc>
          <w:tcPr>
            <w:tcW w:w="700" w:type="dxa"/>
            <w:vAlign w:val="center"/>
            <w:textDirection w:val="lrTb"/>
            <w:noWrap w:val="false"/>
          </w:tcPr>
          <w:p>
            <w:pPr>
              <w:contextualSpacing/>
              <w:jc w:val="center"/>
              <w:rPr>
                <w:rFonts w:hint="eastAsia" w:ascii="仿宋" w:hAnsi="仿宋" w:eastAsia="仿宋" w:cs="仿宋"/>
                <w:sz w:val="28"/>
                <w:szCs w:val="28"/>
              </w:rPr>
            </w:pPr>
            <w:r>
              <w:rPr>
                <w:rFonts w:hint="eastAsia" w:ascii="仿宋" w:hAnsi="仿宋" w:eastAsia="仿宋" w:cs="仿宋"/>
                <w:sz w:val="28"/>
                <w:szCs w:val="28"/>
              </w:rPr>
            </w:r>
            <w:r/>
          </w:p>
        </w:tc>
        <w:tc>
          <w:tcPr>
            <w:tcW w:w="714" w:type="dxa"/>
            <w:vAlign w:val="center"/>
            <w:textDirection w:val="lrTb"/>
            <w:noWrap w:val="false"/>
          </w:tcPr>
          <w:p>
            <w:pPr>
              <w:contextualSpacing/>
              <w:jc w:val="center"/>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608"/>
        </w:trPr>
        <w:tc>
          <w:tcPr>
            <w:gridSpan w:val="8"/>
            <w:tcW w:w="8854" w:type="dxa"/>
            <w:vAlign w:val="center"/>
            <w:textDirection w:val="lrTb"/>
            <w:noWrap w:val="false"/>
          </w:tcPr>
          <w:p>
            <w:pPr>
              <w:contextualSpacing/>
              <w:jc w:val="right"/>
              <w:rPr>
                <w:rFonts w:hint="eastAsia" w:ascii="仿宋" w:hAnsi="仿宋" w:eastAsia="仿宋" w:cs="仿宋"/>
                <w:sz w:val="28"/>
                <w:szCs w:val="28"/>
              </w:rPr>
            </w:pPr>
            <w:r>
              <w:rPr>
                <w:rFonts w:hint="eastAsia" w:ascii="仿宋" w:hAnsi="仿宋" w:eastAsia="仿宋" w:cs="仿宋"/>
                <w:sz w:val="28"/>
                <w:szCs w:val="28"/>
              </w:rPr>
              <w:t xml:space="preserve">总计： 元</w:t>
            </w:r>
            <w:r/>
          </w:p>
        </w:tc>
      </w:tr>
    </w:tbl>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本合同共计</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台；总价款为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元整。（大写人民币：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元整）。其中：</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设备价格</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元整，安装价格（含井道整改等）</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元整；</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超长期国债政府补贴为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元整（大写人民币：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元整）； </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本合同总价款包括：</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1、包括安全评估、井道整改、机房整改、旧梯拆除及运输存放、工程设计、土建施工、电梯设备及运输、</w:t>
      </w:r>
      <w:r>
        <w:rPr>
          <w:rFonts w:hint="eastAsia" w:ascii="仿宋" w:hAnsi="仿宋" w:eastAsia="仿宋" w:cs="仿宋"/>
          <w:color w:val="auto"/>
          <w:sz w:val="28"/>
          <w:szCs w:val="28"/>
          <w:lang w:eastAsia="zh-CN"/>
        </w:rPr>
        <w:t xml:space="preserve">所有配件（确保电梯正常运行）、</w:t>
      </w:r>
      <w:r>
        <w:rPr>
          <w:rFonts w:hint="eastAsia" w:ascii="仿宋" w:hAnsi="仿宋" w:eastAsia="仿宋" w:cs="仿宋"/>
          <w:sz w:val="28"/>
          <w:szCs w:val="28"/>
        </w:rPr>
        <w:t xml:space="preserve">运输保险、卸货、电梯设备安装调试、原厂质保、全包维保及检验检测等。</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2、电梯新梯验收费用由乙方承担。</w:t>
      </w:r>
      <w:r/>
    </w:p>
    <w:p>
      <w:pPr>
        <w:pStyle w:val="1196"/>
        <w:ind w:left="-359" w:firstLine="963"/>
        <w:spacing w:line="520" w:lineRule="exact"/>
        <w:rPr>
          <w:rFonts w:hint="eastAsia" w:ascii="仿宋" w:hAnsi="仿宋" w:eastAsia="仿宋"/>
          <w:b/>
          <w:bCs/>
          <w:sz w:val="28"/>
          <w:szCs w:val="32"/>
        </w:rPr>
      </w:pPr>
      <w:r>
        <w:rPr>
          <w:rFonts w:hint="eastAsia" w:ascii="仿宋" w:hAnsi="仿宋" w:eastAsia="仿宋"/>
          <w:bCs/>
          <w:sz w:val="28"/>
          <w:szCs w:val="32"/>
        </w:rPr>
        <w:t xml:space="preserve">三、</w:t>
      </w:r>
      <w:r>
        <w:rPr>
          <w:rFonts w:hint="eastAsia" w:ascii="仿宋" w:hAnsi="仿宋" w:eastAsia="仿宋"/>
          <w:sz w:val="28"/>
        </w:rPr>
        <w:t xml:space="preserve">供货时间和地点</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（一）</w:t>
      </w:r>
      <w:r>
        <w:rPr>
          <w:rFonts w:hint="eastAsia" w:ascii="仿宋" w:hAnsi="仿宋" w:eastAsia="仿宋"/>
          <w:sz w:val="28"/>
        </w:rPr>
        <w:t xml:space="preserve">供货</w:t>
      </w:r>
      <w:r>
        <w:rPr>
          <w:rFonts w:hint="eastAsia" w:ascii="仿宋" w:hAnsi="仿宋" w:eastAsia="仿宋" w:cs="仿宋"/>
          <w:sz w:val="28"/>
          <w:szCs w:val="28"/>
        </w:rPr>
        <w:t xml:space="preserve">期限：合同签订生效后，60个日历天完成生产安装、</w:t>
      </w:r>
      <w:r>
        <w:rPr>
          <w:rFonts w:hint="eastAsia" w:ascii="仿宋" w:hAnsi="仿宋" w:eastAsia="仿宋"/>
          <w:sz w:val="28"/>
          <w:szCs w:val="28"/>
        </w:rPr>
        <w:t xml:space="preserve">旧梯拆除、原井道及机房改造、</w:t>
      </w:r>
      <w:r>
        <w:rPr>
          <w:rFonts w:hint="eastAsia" w:ascii="仿宋" w:hAnsi="仿宋" w:eastAsia="仿宋" w:cs="仿宋"/>
          <w:sz w:val="28"/>
          <w:szCs w:val="28"/>
        </w:rPr>
        <w:t xml:space="preserve">调试验收，免费原厂整机质保和全包维保不少于5年。                             </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（二）</w:t>
      </w:r>
      <w:r>
        <w:rPr>
          <w:rFonts w:hint="eastAsia" w:ascii="仿宋" w:hAnsi="仿宋" w:eastAsia="仿宋"/>
          <w:sz w:val="28"/>
        </w:rPr>
        <w:t xml:space="preserve">供货</w:t>
      </w:r>
      <w:r>
        <w:rPr>
          <w:rFonts w:hint="eastAsia" w:ascii="仿宋" w:hAnsi="仿宋" w:eastAsia="仿宋" w:cs="仿宋"/>
          <w:sz w:val="28"/>
          <w:szCs w:val="28"/>
        </w:rPr>
        <w:t xml:space="preserve">地点由甲方指定；不符合乙方投标文件承诺品牌与参数要求的设备，甲方不予接收，乙方必须更换符合要求的设备用于安装，并承担相应损失与后果。    </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（三）免费原厂整机质保和全包维保：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年，维保要求满足采购需求内容。</w:t>
      </w:r>
      <w:r/>
    </w:p>
    <w:p>
      <w:pPr>
        <w:pStyle w:val="1196"/>
        <w:ind w:left="-357" w:firstLine="963"/>
        <w:spacing w:line="520" w:lineRule="exact"/>
        <w:rPr>
          <w:rFonts w:hint="eastAsia" w:ascii="仿宋" w:hAnsi="仿宋" w:eastAsia="仿宋"/>
          <w:sz w:val="28"/>
        </w:rPr>
      </w:pPr>
      <w:r>
        <w:rPr>
          <w:rFonts w:hint="eastAsia" w:ascii="仿宋" w:hAnsi="仿宋" w:eastAsia="仿宋"/>
          <w:sz w:val="28"/>
        </w:rPr>
        <w:t xml:space="preserve">四、付款</w:t>
      </w:r>
      <w:r/>
    </w:p>
    <w:p>
      <w:pPr>
        <w:ind w:firstLine="56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预付款，签订合同后支付合同总价款的30%；</w:t>
      </w:r>
      <w:r/>
    </w:p>
    <w:p>
      <w:pPr>
        <w:ind w:firstLine="56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进度款：设备全部安装完毕付至合同价款的80%，特种设备安全监督部门验收合格、取得“特种设备使用登记证”后付至合同价款的97%；余款待取得“特种设备使用登记证”满5年后，一次性付清。</w:t>
      </w:r>
      <w:r/>
    </w:p>
    <w:p>
      <w:pPr>
        <w:ind w:firstLine="56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（1）可以采用数字人民币支付。</w:t>
      </w:r>
      <w:r/>
    </w:p>
    <w:p>
      <w:pPr>
        <w:ind w:firstLine="56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（2）资金支付的时间：收到供应商发票10个工作日内。</w:t>
      </w:r>
      <w:r/>
    </w:p>
    <w:p>
      <w:pPr>
        <w:ind w:firstLine="56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（3）资金支付的条件：满足相应阶段的要求且收到供应商发票。</w:t>
      </w:r>
      <w:r/>
    </w:p>
    <w:p>
      <w:pPr>
        <w:ind w:firstLine="56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（4）在签订合同时，供应商明确表示无需预付款或者主动要求降低预付款比例的，采购人可不适用前述规定。</w:t>
      </w:r>
      <w:r/>
    </w:p>
    <w:p>
      <w:pPr>
        <w:ind w:firstLine="56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本项目为超长期特别国债资金支持的更新电梯项目，如所投电梯单价低于15万元的可能不享受国家补贴，请投标人自行考虑，因报价导致后期付款出现问题等原因由投标人自行承担。如所投电梯单价超过15万元，超出部分由电梯使用业主自筹解决，请投标人自行考虑报价。</w:t>
      </w:r>
      <w:r/>
    </w:p>
    <w:p>
      <w:pPr>
        <w:pStyle w:val="1196"/>
        <w:ind w:firstLine="560"/>
        <w:spacing w:line="520" w:lineRule="exact"/>
        <w:rPr>
          <w:rFonts w:hint="eastAsia" w:ascii="仿宋" w:hAnsi="仿宋" w:eastAsia="仿宋"/>
          <w:sz w:val="28"/>
          <w:szCs w:val="28"/>
        </w:rPr>
      </w:pPr>
      <w:r>
        <w:rPr>
          <w:rFonts w:hint="eastAsia" w:ascii="仿宋" w:hAnsi="仿宋" w:eastAsia="仿宋"/>
          <w:sz w:val="28"/>
          <w:szCs w:val="28"/>
        </w:rPr>
        <w:t xml:space="preserve">五、验收</w:t>
      </w:r>
      <w:r/>
    </w:p>
    <w:p>
      <w:pPr>
        <w:pStyle w:val="1196"/>
        <w:ind w:firstLine="560"/>
        <w:spacing w:line="520" w:lineRule="exact"/>
        <w:rPr>
          <w:rFonts w:hint="eastAsia" w:ascii="仿宋" w:hAnsi="仿宋" w:eastAsia="仿宋"/>
          <w:sz w:val="28"/>
          <w:szCs w:val="28"/>
        </w:rPr>
      </w:pPr>
      <w:r>
        <w:rPr>
          <w:rFonts w:hint="eastAsia" w:ascii="仿宋" w:hAnsi="仿宋" w:eastAsia="仿宋"/>
          <w:sz w:val="28"/>
          <w:szCs w:val="28"/>
        </w:rPr>
        <w:t xml:space="preserve">甲方按招标文件</w:t>
      </w:r>
      <w:r>
        <w:rPr>
          <w:rFonts w:hint="eastAsia" w:ascii="仿宋" w:hAnsi="仿宋" w:eastAsia="仿宋"/>
          <w:color w:val="auto"/>
          <w:sz w:val="28"/>
          <w:szCs w:val="28"/>
          <w:lang w:eastAsia="zh-CN"/>
        </w:rPr>
        <w:t xml:space="preserve">采购需求中</w:t>
      </w:r>
      <w:r>
        <w:rPr>
          <w:rFonts w:hint="eastAsia" w:ascii="仿宋" w:hAnsi="仿宋" w:eastAsia="仿宋"/>
          <w:color w:val="auto"/>
          <w:sz w:val="28"/>
          <w:szCs w:val="28"/>
        </w:rPr>
        <w:t xml:space="preserve">相关</w:t>
      </w:r>
      <w:r>
        <w:rPr>
          <w:rFonts w:hint="eastAsia" w:ascii="仿宋" w:hAnsi="仿宋" w:eastAsia="仿宋"/>
          <w:sz w:val="28"/>
          <w:szCs w:val="28"/>
        </w:rPr>
        <w:t xml:space="preserve">要求进行。如需委托第三方验收，第三方是指:</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，验收费用由乙方承担。因乙方交付的货物不符合标准导致甲方重复支出的验收费用，由乙方承担。</w:t>
      </w:r>
      <w:r>
        <w:rPr>
          <w:rFonts w:ascii="仿宋" w:hAnsi="仿宋" w:eastAsia="仿宋"/>
          <w:sz w:val="28"/>
          <w:szCs w:val="28"/>
        </w:rPr>
        <w:t xml:space="preserve"> </w:t>
      </w:r>
      <w:r/>
    </w:p>
    <w:p>
      <w:pPr>
        <w:pStyle w:val="1196"/>
        <w:ind w:firstLine="560"/>
        <w:spacing w:line="520" w:lineRule="exact"/>
        <w:rPr>
          <w:rFonts w:hint="eastAsia" w:ascii="仿宋" w:hAnsi="仿宋" w:eastAsia="仿宋"/>
          <w:sz w:val="28"/>
          <w:szCs w:val="28"/>
        </w:rPr>
      </w:pPr>
      <w:r>
        <w:rPr>
          <w:rFonts w:hint="eastAsia" w:ascii="仿宋" w:hAnsi="仿宋" w:eastAsia="仿宋"/>
          <w:sz w:val="28"/>
          <w:szCs w:val="28"/>
        </w:rPr>
        <w:t xml:space="preserve">六、履约保证金</w:t>
      </w:r>
      <w:r/>
    </w:p>
    <w:p>
      <w:pPr>
        <w:pStyle w:val="1196"/>
        <w:ind w:firstLine="56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乙方交纳</w:t>
      </w:r>
      <w:r>
        <w:rPr>
          <w:rFonts w:hint="eastAsia" w:ascii="仿宋" w:hAnsi="仿宋" w:eastAsia="仿宋"/>
          <w:b/>
          <w:bCs/>
          <w:sz w:val="28"/>
          <w:szCs w:val="28"/>
          <w:u w:val="single"/>
        </w:rPr>
        <w:t xml:space="preserve">合同金额的</w:t>
      </w:r>
      <w:r>
        <w:rPr>
          <w:rFonts w:hint="eastAsia" w:ascii="仿宋" w:hAnsi="仿宋" w:eastAsia="仿宋"/>
          <w:b/>
          <w:bCs/>
          <w:sz w:val="28"/>
          <w:szCs w:val="28"/>
          <w:u w:val="single"/>
          <w:lang w:val="en-US" w:eastAsia="zh-CN"/>
        </w:rPr>
        <w:t xml:space="preserve">5</w:t>
      </w:r>
      <w:r>
        <w:rPr>
          <w:rFonts w:hint="eastAsia" w:ascii="仿宋" w:hAnsi="仿宋" w:eastAsia="仿宋"/>
          <w:b/>
          <w:bCs/>
          <w:sz w:val="28"/>
          <w:szCs w:val="28"/>
          <w:u w:val="single"/>
        </w:rPr>
        <w:t xml:space="preserve">%</w:t>
      </w:r>
      <w:r>
        <w:rPr>
          <w:rFonts w:ascii="仿宋" w:hAnsi="仿宋" w:eastAsia="仿宋"/>
          <w:sz w:val="28"/>
          <w:szCs w:val="28"/>
        </w:rPr>
        <w:t xml:space="preserve">作为本合同的履约保证金。</w:t>
      </w:r>
      <w:r>
        <w:rPr>
          <w:rFonts w:hint="eastAsia" w:ascii="仿宋" w:hAnsi="仿宋" w:eastAsia="仿宋" w:cs="Times New Roman"/>
          <w:sz w:val="28"/>
          <w:szCs w:val="28"/>
        </w:rPr>
        <w:t xml:space="preserve">支持和鼓励投标人使用江苏政府采购电子履约保函（保险）代替缴纳履约保证金，投标人如使用江苏政府采购电子履约保函（保险）的，可按采购合同总价的 </w:t>
      </w:r>
      <w:r>
        <w:rPr>
          <w:rFonts w:hint="eastAsia" w:ascii="仿宋" w:hAnsi="仿宋" w:eastAsia="仿宋" w:cs="Times New Roman"/>
          <w:sz w:val="28"/>
          <w:szCs w:val="28"/>
          <w:lang w:val="en-US" w:eastAsia="zh-CN"/>
        </w:rPr>
        <w:t xml:space="preserve">3 </w:t>
      </w:r>
      <w:r>
        <w:rPr>
          <w:rFonts w:hint="eastAsia" w:ascii="仿宋" w:hAnsi="仿宋" w:eastAsia="仿宋" w:cs="Times New Roman"/>
          <w:sz w:val="28"/>
          <w:szCs w:val="28"/>
        </w:rPr>
        <w:t xml:space="preserve">%（履约保证金原提交金额的6折）提交。办理流程、偿付等内容见江苏政府采购网“保险保函”模块。</w:t>
      </w:r>
      <w:r>
        <w:rPr>
          <w:rFonts w:hint="eastAsia" w:ascii="仿宋" w:hAnsi="仿宋" w:eastAsia="仿宋" w:cs="Times New Roman"/>
          <w:sz w:val="28"/>
          <w:szCs w:val="28"/>
          <w:lang w:val="en-US" w:eastAsia="zh-CN"/>
        </w:rPr>
        <w:t xml:space="preserve">供应商也可选用数字人民币方式缴纳。</w:t>
      </w:r>
      <w:r/>
    </w:p>
    <w:p>
      <w:pPr>
        <w:ind w:left="70"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w:t>
      </w:r>
      <w:r>
        <w:rPr>
          <w:rFonts w:hint="eastAsia" w:ascii="仿宋" w:hAnsi="仿宋" w:eastAsia="仿宋"/>
          <w:sz w:val="28"/>
          <w:szCs w:val="28"/>
        </w:rPr>
        <w:t xml:space="preserve">、乙方</w:t>
      </w:r>
      <w:r>
        <w:rPr>
          <w:rFonts w:ascii="仿宋" w:hAnsi="仿宋" w:eastAsia="仿宋"/>
          <w:sz w:val="28"/>
          <w:szCs w:val="28"/>
        </w:rPr>
        <w:t xml:space="preserve">选取银行保函、担保公司的保证担保或保险公司的保证保险等</w:t>
      </w:r>
      <w:r>
        <w:rPr>
          <w:rFonts w:hint="eastAsia" w:ascii="仿宋" w:hAnsi="仿宋" w:eastAsia="仿宋"/>
          <w:sz w:val="28"/>
          <w:szCs w:val="28"/>
        </w:rPr>
        <w:t xml:space="preserve">形式</w:t>
      </w:r>
      <w:r>
        <w:rPr>
          <w:rFonts w:ascii="仿宋" w:hAnsi="仿宋" w:eastAsia="仿宋"/>
          <w:sz w:val="28"/>
          <w:szCs w:val="28"/>
        </w:rPr>
        <w:t xml:space="preserve">向采购人缴纳</w:t>
      </w:r>
      <w:r>
        <w:rPr>
          <w:rFonts w:hint="eastAsia" w:ascii="仿宋" w:hAnsi="仿宋" w:eastAsia="仿宋"/>
          <w:sz w:val="28"/>
          <w:szCs w:val="28"/>
        </w:rPr>
        <w:t xml:space="preserve">的</w:t>
      </w:r>
      <w:r>
        <w:rPr>
          <w:rFonts w:ascii="仿宋" w:hAnsi="仿宋" w:eastAsia="仿宋"/>
          <w:sz w:val="28"/>
          <w:szCs w:val="28"/>
        </w:rPr>
        <w:t xml:space="preserve">，如保函（担保、保险等）</w:t>
      </w:r>
      <w:r>
        <w:rPr>
          <w:rFonts w:hint="eastAsia" w:ascii="仿宋" w:hAnsi="仿宋" w:eastAsia="仿宋"/>
          <w:sz w:val="28"/>
          <w:szCs w:val="28"/>
        </w:rPr>
        <w:t xml:space="preserve">的约定期到期但乙方履约仍未结束的</w:t>
      </w:r>
      <w:r>
        <w:rPr>
          <w:rFonts w:ascii="仿宋" w:hAnsi="仿宋" w:eastAsia="仿宋"/>
          <w:sz w:val="28"/>
          <w:szCs w:val="28"/>
        </w:rPr>
        <w:t xml:space="preserve">，</w:t>
      </w:r>
      <w:r>
        <w:rPr>
          <w:rFonts w:hint="eastAsia" w:ascii="仿宋" w:hAnsi="仿宋" w:eastAsia="仿宋"/>
          <w:sz w:val="28"/>
          <w:szCs w:val="28"/>
        </w:rPr>
        <w:t xml:space="preserve">乙方</w:t>
      </w:r>
      <w:r>
        <w:rPr>
          <w:rFonts w:ascii="仿宋" w:hAnsi="仿宋" w:eastAsia="仿宋"/>
          <w:sz w:val="28"/>
          <w:szCs w:val="28"/>
        </w:rPr>
        <w:t xml:space="preserve">须进行续保。</w:t>
      </w:r>
      <w:r/>
    </w:p>
    <w:p>
      <w:pPr>
        <w:ind w:firstLine="48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3、履约保证金退还方式</w:t>
      </w:r>
      <w:r/>
    </w:p>
    <w:p>
      <w:pPr>
        <w:ind w:firstLine="48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4、履约保证金退还条件</w:t>
      </w:r>
      <w:r/>
    </w:p>
    <w:p>
      <w:pPr>
        <w:ind w:firstLine="48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具有验收合格相关证明材料。</w:t>
      </w:r>
      <w:r/>
    </w:p>
    <w:p>
      <w:pPr>
        <w:ind w:firstLine="48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5、履约保证金退还时间</w:t>
      </w:r>
      <w:r/>
    </w:p>
    <w:p>
      <w:pPr>
        <w:ind w:firstLine="48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采购人收到投标人退付申请后5个工作日内退还。</w:t>
      </w:r>
      <w:r/>
    </w:p>
    <w:p>
      <w:pPr>
        <w:ind w:firstLine="48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6、履约保证金不予退还情形</w:t>
      </w:r>
      <w:r/>
    </w:p>
    <w:p>
      <w:pPr>
        <w:ind w:firstLine="48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7、逾期退还履约保证金违约责任</w:t>
      </w:r>
      <w:r/>
    </w:p>
    <w:p>
      <w:pPr>
        <w:ind w:firstLine="480"/>
        <w:spacing w:line="480" w:lineRule="exact"/>
        <w:rPr>
          <w:rFonts w:hint="eastAsia" w:ascii="仿宋" w:hAnsi="仿宋" w:eastAsia="仿宋"/>
          <w:sz w:val="28"/>
          <w:szCs w:val="28"/>
        </w:rPr>
      </w:pPr>
      <w:r>
        <w:rPr>
          <w:rFonts w:hint="eastAsia" w:ascii="仿宋" w:hAnsi="仿宋" w:eastAsia="仿宋" w:cs="Times New Roman"/>
          <w:sz w:val="28"/>
          <w:szCs w:val="28"/>
          <w:lang w:val="en-US" w:eastAsia="zh-CN" w:bidi="ar-SA"/>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七、合同纠纷处理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本合同执行过程中发生纠纷，由甲乙双方协商解决，若协商不成，作如下</w:t>
      </w:r>
      <w:r>
        <w:rPr>
          <w:rFonts w:ascii="仿宋" w:hAnsi="仿宋" w:eastAsia="仿宋"/>
          <w:sz w:val="28"/>
          <w:szCs w:val="28"/>
          <w:u w:val="single"/>
        </w:rPr>
        <w:t xml:space="preserve"> </w:t>
      </w:r>
      <w:r>
        <w:rPr>
          <w:rFonts w:hint="eastAsia" w:ascii="仿宋" w:hAnsi="仿宋" w:eastAsia="仿宋"/>
          <w:sz w:val="28"/>
          <w:szCs w:val="28"/>
          <w:u w:val="single"/>
        </w:rPr>
        <w:t xml:space="preserve"> 2</w:t>
      </w:r>
      <w:r>
        <w:rPr>
          <w:rFonts w:ascii="仿宋" w:hAnsi="仿宋" w:eastAsia="仿宋"/>
          <w:sz w:val="28"/>
          <w:szCs w:val="28"/>
          <w:u w:val="single"/>
        </w:rPr>
        <w:t xml:space="preserve"> </w:t>
      </w:r>
      <w:r>
        <w:rPr>
          <w:rFonts w:hint="eastAsia" w:ascii="仿宋" w:hAnsi="仿宋" w:eastAsia="仿宋"/>
          <w:sz w:val="28"/>
          <w:szCs w:val="28"/>
        </w:rPr>
        <w:t xml:space="preserve">处理:</w:t>
      </w:r>
      <w:r>
        <w:rPr>
          <w:rFonts w:ascii="仿宋" w:hAnsi="仿宋" w:eastAsia="仿宋"/>
          <w:sz w:val="28"/>
          <w:szCs w:val="28"/>
        </w:rPr>
        <w:t xml:space="preserve"> </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、申请仲裁。</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、提起诉讼。约定由采购人所在地法院管辖。</w:t>
      </w:r>
      <w:r>
        <w:rPr>
          <w:rFonts w:ascii="仿宋" w:hAnsi="仿宋" w:eastAsia="仿宋"/>
          <w:sz w:val="28"/>
          <w:szCs w:val="28"/>
        </w:rPr>
        <w:t xml:space="preserve"> </w:t>
      </w:r>
      <w:r/>
    </w:p>
    <w:p>
      <w:pPr>
        <w:ind w:firstLine="548"/>
        <w:spacing w:line="520" w:lineRule="exact"/>
        <w:rPr>
          <w:rFonts w:hint="eastAsia" w:ascii="仿宋" w:hAnsi="仿宋" w:eastAsia="仿宋"/>
          <w:sz w:val="28"/>
          <w:szCs w:val="28"/>
        </w:rPr>
      </w:pPr>
      <w:r>
        <w:rPr>
          <w:rFonts w:hint="eastAsia" w:ascii="仿宋" w:hAnsi="仿宋" w:eastAsia="仿宋"/>
          <w:sz w:val="28"/>
          <w:szCs w:val="28"/>
        </w:rPr>
        <w:t xml:space="preserve">八、合同生效及其它</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本合同经甲、乙双方加盖电子签章后生效。如有变动，必须经甲方、乙方协商一致后，方可更改。</w:t>
      </w:r>
      <w:r/>
    </w:p>
    <w:p>
      <w:pPr>
        <w:ind w:firstLine="548"/>
        <w:spacing w:line="520" w:lineRule="exact"/>
        <w:rPr>
          <w:rFonts w:hint="eastAsia" w:ascii="仿宋" w:hAnsi="仿宋" w:eastAsia="仿宋"/>
          <w:sz w:val="28"/>
          <w:szCs w:val="28"/>
        </w:rPr>
      </w:pPr>
      <w:r>
        <w:rPr>
          <w:rFonts w:hint="eastAsia" w:ascii="仿宋" w:hAnsi="仿宋" w:eastAsia="仿宋"/>
          <w:sz w:val="28"/>
          <w:szCs w:val="28"/>
        </w:rPr>
        <w:t xml:space="preserve">九、组成本合同的文件包括</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1、合同格式及条款；</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 </w:t>
      </w:r>
      <w:r>
        <w:rPr>
          <w:rFonts w:hint="eastAsia" w:ascii="仿宋" w:hAnsi="仿宋" w:eastAsia="仿宋"/>
          <w:sz w:val="28"/>
          <w:szCs w:val="28"/>
        </w:rPr>
        <w:t xml:space="preserve">中标通知书；</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 </w:t>
      </w:r>
      <w:r>
        <w:rPr>
          <w:rFonts w:hint="eastAsia" w:ascii="仿宋" w:hAnsi="仿宋" w:eastAsia="仿宋"/>
          <w:sz w:val="28"/>
          <w:szCs w:val="28"/>
        </w:rPr>
        <w:t xml:space="preserve">甲乙双方商定的其他必要文件。</w:t>
      </w:r>
      <w:r>
        <w:rPr>
          <w:rFonts w:ascii="仿宋" w:hAnsi="仿宋" w:eastAsia="仿宋"/>
          <w:sz w:val="28"/>
          <w:szCs w:val="28"/>
        </w:rPr>
        <w:t xml:space="preserve"> </w:t>
      </w:r>
      <w:r>
        <w:rPr>
          <w:rFonts w:hint="eastAsia" w:ascii="仿宋" w:hAnsi="仿宋" w:eastAsia="仿宋"/>
          <w:sz w:val="28"/>
          <w:szCs w:val="28"/>
        </w:rPr>
        <w:t xml:space="preserve">上述合同文件内容互为补充，如有不明确，由甲方负责解释。</w:t>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1196"/>
        <w:spacing w:line="520" w:lineRule="exact"/>
        <w:rPr>
          <w:rFonts w:hint="eastAsia" w:ascii="仿宋" w:hAnsi="仿宋" w:eastAsia="仿宋"/>
          <w:sz w:val="28"/>
          <w:szCs w:val="28"/>
        </w:rPr>
      </w:pPr>
      <w:r>
        <w:rPr>
          <w:rFonts w:hint="eastAsia" w:ascii="仿宋" w:hAnsi="仿宋" w:eastAsia="仿宋"/>
          <w:sz w:val="28"/>
          <w:szCs w:val="28"/>
        </w:rPr>
      </w:r>
      <w:r/>
    </w:p>
    <w:p>
      <w:pPr>
        <w:pStyle w:val="1196"/>
        <w:spacing w:line="520" w:lineRule="exact"/>
        <w:rPr>
          <w:rFonts w:hint="eastAsia" w:ascii="仿宋" w:hAnsi="仿宋" w:eastAsia="仿宋"/>
          <w:sz w:val="28"/>
          <w:szCs w:val="24"/>
        </w:rPr>
      </w:pPr>
      <w:r>
        <w:rPr>
          <w:rFonts w:hint="eastAsia" w:ascii="仿宋" w:hAnsi="仿宋" w:eastAsia="仿宋"/>
          <w:sz w:val="28"/>
          <w:szCs w:val="28"/>
        </w:rPr>
        <w:t xml:space="preserve">甲</w:t>
      </w:r>
      <w:r>
        <w:rPr>
          <w:rFonts w:hint="eastAsia" w:ascii="仿宋" w:hAnsi="仿宋" w:eastAsia="仿宋"/>
          <w:sz w:val="28"/>
          <w:szCs w:val="24"/>
        </w:rPr>
        <w:t xml:space="preserve">    方:                          </w:t>
      </w:r>
      <w:r>
        <w:rPr>
          <w:rFonts w:hint="eastAsia" w:ascii="仿宋" w:hAnsi="仿宋" w:eastAsia="仿宋"/>
          <w:sz w:val="28"/>
          <w:szCs w:val="28"/>
        </w:rPr>
        <w:t xml:space="preserve">乙</w:t>
      </w:r>
      <w:r>
        <w:rPr>
          <w:rFonts w:hint="eastAsia" w:ascii="仿宋" w:hAnsi="仿宋" w:eastAsia="仿宋"/>
          <w:sz w:val="28"/>
          <w:szCs w:val="24"/>
        </w:rPr>
        <w:t xml:space="preserve">    方:</w:t>
      </w:r>
      <w:r/>
    </w:p>
    <w:p>
      <w:pPr>
        <w:pStyle w:val="1196"/>
        <w:spacing w:line="520" w:lineRule="exact"/>
        <w:rPr>
          <w:rFonts w:hint="eastAsia" w:ascii="仿宋" w:hAnsi="仿宋" w:eastAsia="仿宋"/>
          <w:sz w:val="28"/>
          <w:szCs w:val="24"/>
        </w:rPr>
      </w:pPr>
      <w:r>
        <w:rPr>
          <w:rFonts w:hint="eastAsia" w:ascii="仿宋" w:hAnsi="仿宋" w:eastAsia="仿宋"/>
          <w:sz w:val="28"/>
          <w:szCs w:val="24"/>
        </w:rPr>
        <w:t xml:space="preserve">单位盖章:（电子签章）              单位盖章:（电子签章）</w:t>
      </w:r>
      <w:r/>
    </w:p>
    <w:p>
      <w:pPr>
        <w:pStyle w:val="1196"/>
        <w:spacing w:line="520" w:lineRule="exact"/>
        <w:rPr>
          <w:rFonts w:hint="eastAsia" w:ascii="仿宋" w:hAnsi="仿宋" w:eastAsia="仿宋"/>
          <w:sz w:val="28"/>
          <w:szCs w:val="24"/>
        </w:rPr>
      </w:pPr>
      <w:r>
        <w:rPr>
          <w:rFonts w:hint="eastAsia" w:ascii="仿宋" w:hAnsi="仿宋" w:eastAsia="仿宋"/>
          <w:sz w:val="28"/>
          <w:szCs w:val="24"/>
        </w:rPr>
        <w:t xml:space="preserve">代表签字:                          代表签字:</w:t>
      </w:r>
      <w:r/>
    </w:p>
    <w:p>
      <w:pPr>
        <w:pStyle w:val="1196"/>
        <w:spacing w:line="520" w:lineRule="exact"/>
        <w:rPr>
          <w:rFonts w:hint="eastAsia" w:ascii="仿宋" w:hAnsi="仿宋" w:eastAsia="仿宋"/>
          <w:sz w:val="28"/>
          <w:szCs w:val="24"/>
        </w:rPr>
      </w:pPr>
      <w:r>
        <w:rPr>
          <w:rFonts w:hint="eastAsia" w:ascii="仿宋" w:hAnsi="仿宋" w:eastAsia="仿宋"/>
          <w:sz w:val="28"/>
          <w:szCs w:val="24"/>
        </w:rPr>
        <w:t xml:space="preserve">签订日期:                          签订日期:</w:t>
      </w:r>
      <w:r/>
    </w:p>
    <w:p>
      <w:pPr>
        <w:ind w:firstLine="3113"/>
        <w:pageBreakBefore/>
        <w:spacing w:line="520" w:lineRule="exact"/>
        <w:tabs>
          <w:tab w:val="left" w:pos="180" w:leader="none"/>
        </w:tabs>
        <w:rPr>
          <w:rFonts w:hint="eastAsia" w:ascii="仿宋" w:hAnsi="仿宋" w:eastAsia="仿宋"/>
          <w:sz w:val="28"/>
          <w:szCs w:val="28"/>
        </w:rPr>
      </w:pPr>
      <w:r>
        <w:rPr>
          <w:rFonts w:hint="eastAsia" w:ascii="仿宋" w:hAnsi="仿宋" w:eastAsia="仿宋"/>
          <w:sz w:val="28"/>
          <w:szCs w:val="28"/>
        </w:rPr>
        <w:t xml:space="preserve">二、合同条款</w:t>
      </w:r>
      <w:r/>
    </w:p>
    <w:p>
      <w:pPr>
        <w:spacing w:line="520" w:lineRule="exact"/>
        <w:rPr>
          <w:rFonts w:hint="eastAsia" w:ascii="仿宋" w:hAnsi="仿宋" w:eastAsia="仿宋"/>
          <w:sz w:val="28"/>
        </w:rPr>
      </w:pPr>
      <w:r>
        <w:rPr>
          <w:rFonts w:hint="eastAsia" w:ascii="仿宋" w:hAnsi="仿宋" w:eastAsia="仿宋"/>
          <w:sz w:val="28"/>
        </w:rPr>
        <w:t xml:space="preserve">1.定义</w:t>
      </w:r>
      <w:r/>
    </w:p>
    <w:p>
      <w:pPr>
        <w:ind w:firstLine="660"/>
        <w:spacing w:line="520" w:lineRule="exact"/>
        <w:rPr>
          <w:rFonts w:hint="eastAsia" w:ascii="仿宋" w:hAnsi="仿宋" w:eastAsia="仿宋"/>
          <w:sz w:val="28"/>
        </w:rPr>
      </w:pPr>
      <w:r>
        <w:rPr>
          <w:rFonts w:hint="eastAsia" w:ascii="仿宋" w:hAnsi="仿宋" w:eastAsia="仿宋"/>
          <w:sz w:val="28"/>
        </w:rPr>
        <w:t xml:space="preserve">本合同中下列术语应解释为</w:t>
      </w:r>
      <w:r>
        <w:rPr>
          <w:rFonts w:hint="eastAsia" w:ascii="仿宋" w:hAnsi="仿宋" w:eastAsia="仿宋"/>
          <w:sz w:val="28"/>
          <w:szCs w:val="28"/>
        </w:rPr>
        <w:t xml:space="preserve">:</w:t>
      </w:r>
      <w:r/>
    </w:p>
    <w:p>
      <w:pPr>
        <w:ind w:firstLine="420"/>
        <w:spacing w:line="520" w:lineRule="exact"/>
        <w:rPr>
          <w:rFonts w:hint="eastAsia" w:ascii="仿宋" w:hAnsi="仿宋" w:eastAsia="仿宋"/>
          <w:sz w:val="28"/>
        </w:rPr>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p>
    <w:p>
      <w:pPr>
        <w:ind w:firstLine="420"/>
        <w:spacing w:line="520" w:lineRule="exact"/>
        <w:rPr>
          <w:rFonts w:hint="eastAsia" w:ascii="仿宋" w:hAnsi="仿宋" w:eastAsia="仿宋"/>
          <w:sz w:val="28"/>
        </w:rPr>
      </w:pPr>
      <w:r>
        <w:rPr>
          <w:rFonts w:hint="eastAsia" w:ascii="仿宋" w:hAnsi="仿宋" w:eastAsia="仿宋"/>
          <w:sz w:val="28"/>
        </w:rPr>
        <w:t xml:space="preserve">（2）“合同价”系指根据合同规定，乙方在完全履行合同义务后甲方应支付给乙方的价格。</w:t>
      </w:r>
      <w:r/>
    </w:p>
    <w:p>
      <w:pPr>
        <w:ind w:firstLine="420"/>
        <w:spacing w:line="520" w:lineRule="exact"/>
        <w:rPr>
          <w:rFonts w:hint="eastAsia" w:ascii="仿宋" w:hAnsi="仿宋" w:eastAsia="仿宋"/>
          <w:sz w:val="28"/>
        </w:rPr>
      </w:pPr>
      <w:r>
        <w:rPr>
          <w:rFonts w:hint="eastAsia" w:ascii="仿宋" w:hAnsi="仿宋" w:eastAsia="仿宋"/>
          <w:sz w:val="28"/>
        </w:rPr>
        <w:t xml:space="preserve">（3）“货物（含软件及相关服务）”系指乙方按合同要求，须向甲方提供的一切设备、机械、仪表、备件、工具、技术及手册等有关材料。</w:t>
      </w:r>
      <w:r/>
    </w:p>
    <w:p>
      <w:pPr>
        <w:ind w:firstLine="420"/>
        <w:spacing w:line="520" w:lineRule="exact"/>
        <w:rPr>
          <w:rFonts w:hint="eastAsia" w:ascii="仿宋" w:hAnsi="仿宋" w:eastAsia="仿宋"/>
          <w:sz w:val="28"/>
        </w:rPr>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p>
    <w:p>
      <w:pPr>
        <w:ind w:firstLine="420"/>
        <w:spacing w:line="520" w:lineRule="exact"/>
        <w:rPr>
          <w:rFonts w:hint="eastAsia" w:ascii="仿宋" w:hAnsi="仿宋" w:eastAsia="仿宋"/>
          <w:sz w:val="28"/>
        </w:rPr>
      </w:pPr>
      <w:r>
        <w:rPr>
          <w:rFonts w:hint="eastAsia" w:ascii="仿宋" w:hAnsi="仿宋" w:eastAsia="仿宋"/>
          <w:sz w:val="28"/>
        </w:rPr>
        <w:t xml:space="preserve">（5）“甲方”系指购买货物（含软件及相关服务）的单位。</w:t>
      </w:r>
      <w:r/>
    </w:p>
    <w:p>
      <w:pPr>
        <w:ind w:firstLine="420"/>
        <w:spacing w:line="520" w:lineRule="exact"/>
        <w:rPr>
          <w:rFonts w:hint="eastAsia" w:ascii="仿宋" w:hAnsi="仿宋" w:eastAsia="仿宋"/>
          <w:sz w:val="28"/>
        </w:rPr>
      </w:pPr>
      <w:r>
        <w:rPr>
          <w:rFonts w:hint="eastAsia" w:ascii="仿宋" w:hAnsi="仿宋" w:eastAsia="仿宋"/>
          <w:sz w:val="28"/>
        </w:rPr>
        <w:t xml:space="preserve">（6）“乙方”系指根据合同规定提供货物（含软件及相关服务）和服务的投标人。</w:t>
      </w:r>
      <w:r/>
    </w:p>
    <w:p>
      <w:pPr>
        <w:spacing w:line="520" w:lineRule="exact"/>
        <w:rPr>
          <w:rFonts w:hint="eastAsia" w:ascii="仿宋" w:hAnsi="仿宋" w:eastAsia="仿宋"/>
          <w:bCs/>
          <w:sz w:val="28"/>
        </w:rPr>
      </w:pPr>
      <w:r>
        <w:rPr>
          <w:rFonts w:hint="eastAsia" w:ascii="仿宋" w:hAnsi="仿宋" w:eastAsia="仿宋"/>
          <w:bCs/>
          <w:sz w:val="28"/>
        </w:rPr>
        <w:t xml:space="preserve">2.技术规范</w:t>
      </w:r>
      <w:r/>
    </w:p>
    <w:p>
      <w:pPr>
        <w:ind w:firstLine="660"/>
        <w:spacing w:line="520" w:lineRule="exact"/>
        <w:rPr>
          <w:rFonts w:hint="eastAsia" w:ascii="仿宋" w:hAnsi="仿宋" w:eastAsia="仿宋"/>
          <w:sz w:val="28"/>
          <w:szCs w:val="28"/>
        </w:rPr>
      </w:pPr>
      <w:r>
        <w:rPr>
          <w:rFonts w:hint="eastAsia" w:ascii="仿宋" w:hAnsi="仿宋" w:eastAsia="仿宋"/>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p>
    <w:p>
      <w:pPr>
        <w:spacing w:line="520" w:lineRule="exact"/>
        <w:rPr>
          <w:rFonts w:hint="eastAsia" w:ascii="仿宋" w:hAnsi="仿宋" w:eastAsia="仿宋"/>
          <w:sz w:val="28"/>
        </w:rPr>
      </w:pPr>
      <w:r>
        <w:rPr>
          <w:rFonts w:hint="eastAsia" w:ascii="仿宋" w:hAnsi="仿宋" w:eastAsia="仿宋"/>
          <w:sz w:val="28"/>
        </w:rPr>
        <w:t xml:space="preserve">3.专利权</w:t>
      </w:r>
      <w:r/>
    </w:p>
    <w:p>
      <w:pPr>
        <w:ind w:firstLine="660"/>
        <w:spacing w:line="520" w:lineRule="exact"/>
        <w:rPr>
          <w:rFonts w:hint="eastAsia" w:ascii="仿宋" w:hAnsi="仿宋" w:eastAsia="仿宋"/>
          <w:sz w:val="28"/>
        </w:rPr>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p>
    <w:p>
      <w:pPr>
        <w:spacing w:line="520" w:lineRule="exact"/>
        <w:rPr>
          <w:rFonts w:hint="eastAsia" w:ascii="仿宋" w:hAnsi="仿宋" w:eastAsia="仿宋"/>
          <w:sz w:val="28"/>
        </w:rPr>
      </w:pPr>
      <w:r>
        <w:rPr>
          <w:rFonts w:hint="eastAsia" w:ascii="仿宋" w:hAnsi="仿宋" w:eastAsia="仿宋"/>
          <w:sz w:val="28"/>
        </w:rPr>
        <w:t xml:space="preserve">4.包装要求</w:t>
      </w:r>
      <w:r/>
    </w:p>
    <w:p>
      <w:pPr>
        <w:ind w:firstLine="560"/>
        <w:spacing w:line="520" w:lineRule="exact"/>
        <w:rPr>
          <w:rFonts w:hint="eastAsia" w:ascii="仿宋" w:hAnsi="仿宋" w:eastAsia="仿宋"/>
          <w:sz w:val="28"/>
        </w:rPr>
      </w:pPr>
      <w:r>
        <w:rPr>
          <w:rFonts w:hint="eastAsia" w:ascii="仿宋" w:hAnsi="仿宋" w:eastAsia="仿宋"/>
          <w:sz w:val="28"/>
          <w:szCs w:val="28"/>
        </w:rPr>
        <w:t xml:space="preserve">4.1本项目中涉及商品的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,在供货、安装过程中能到做到低碳物流、环保节约、提高资源利用率；涉及设备运维参考《绿色数据中心政府采购需求标准（试行）》（财库〔2023〕7号文）执行。</w:t>
      </w:r>
      <w:r/>
    </w:p>
    <w:p>
      <w:pPr>
        <w:ind w:firstLine="660"/>
        <w:spacing w:line="520" w:lineRule="exact"/>
        <w:rPr>
          <w:rFonts w:hint="eastAsia" w:ascii="仿宋" w:hAnsi="仿宋" w:eastAsia="仿宋"/>
          <w:sz w:val="28"/>
        </w:rPr>
      </w:pPr>
      <w:r>
        <w:rPr>
          <w:rFonts w:hint="eastAsia" w:ascii="仿宋" w:hAnsi="仿宋" w:eastAsia="仿宋"/>
          <w:sz w:val="28"/>
        </w:rPr>
        <w:t xml:space="preserve">4.2除合同另有规定外，乙方提供的全部货物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安全无损运抵现场。由于包装不善所引起的货物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p>
    <w:p>
      <w:pPr>
        <w:ind w:firstLine="660"/>
        <w:spacing w:line="520" w:lineRule="exact"/>
        <w:rPr>
          <w:rFonts w:hint="eastAsia" w:ascii="仿宋" w:hAnsi="仿宋" w:eastAsia="仿宋"/>
          <w:sz w:val="28"/>
        </w:rPr>
      </w:pPr>
      <w:r>
        <w:rPr>
          <w:rFonts w:hint="eastAsia" w:ascii="仿宋" w:hAnsi="仿宋" w:eastAsia="仿宋"/>
          <w:sz w:val="28"/>
        </w:rPr>
        <w:t xml:space="preserve">4.3每件包装箱内应附一份详细装箱单和质量合格证。</w:t>
      </w:r>
      <w:r/>
    </w:p>
    <w:p>
      <w:pPr>
        <w:spacing w:line="520" w:lineRule="exact"/>
        <w:rPr>
          <w:rFonts w:hint="eastAsia" w:ascii="仿宋" w:hAnsi="仿宋" w:eastAsia="仿宋"/>
          <w:sz w:val="28"/>
        </w:rPr>
      </w:pPr>
      <w:r>
        <w:rPr>
          <w:rFonts w:hint="eastAsia" w:ascii="仿宋" w:hAnsi="仿宋" w:eastAsia="仿宋"/>
          <w:sz w:val="28"/>
        </w:rPr>
        <w:t xml:space="preserve">5.装运标志</w:t>
      </w:r>
      <w:r/>
    </w:p>
    <w:p>
      <w:pPr>
        <w:ind w:firstLine="660"/>
        <w:spacing w:line="520" w:lineRule="exact"/>
        <w:rPr>
          <w:rFonts w:hint="eastAsia" w:ascii="仿宋" w:hAnsi="仿宋" w:eastAsia="仿宋"/>
          <w:sz w:val="28"/>
          <w:szCs w:val="28"/>
        </w:rPr>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ascii="仿宋" w:hAnsi="仿宋" w:eastAsia="仿宋"/>
          <w:sz w:val="28"/>
          <w:szCs w:val="28"/>
        </w:rPr>
        <w:t xml:space="preserve"> </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（1）收货人</w:t>
      </w:r>
      <w:r>
        <w:rPr>
          <w:rFonts w:ascii="仿宋" w:hAnsi="仿宋" w:eastAsia="仿宋"/>
          <w:sz w:val="28"/>
          <w:szCs w:val="28"/>
        </w:rPr>
        <w:t xml:space="preserve"> </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rPr>
          <w:rFonts w:ascii="仿宋" w:hAnsi="仿宋" w:eastAsia="仿宋"/>
          <w:sz w:val="28"/>
          <w:szCs w:val="28"/>
        </w:rPr>
        <w:t xml:space="preserve"> </w:t>
      </w:r>
      <w:r/>
    </w:p>
    <w:p>
      <w:pPr>
        <w:ind w:firstLine="660"/>
        <w:spacing w:line="520" w:lineRule="exact"/>
        <w:rPr>
          <w:rFonts w:hint="eastAsia" w:ascii="仿宋" w:hAnsi="仿宋" w:eastAsia="仿宋"/>
          <w:sz w:val="28"/>
          <w:szCs w:val="28"/>
        </w:rPr>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w:t>
      </w:r>
      <w:r>
        <w:rPr>
          <w:rFonts w:ascii="仿宋" w:hAnsi="仿宋" w:eastAsia="仿宋"/>
          <w:sz w:val="28"/>
          <w:szCs w:val="28"/>
        </w:rPr>
        <w:t xml:space="preserve">“</w:t>
      </w:r>
      <w:r>
        <w:rPr>
          <w:rFonts w:hint="eastAsia" w:ascii="仿宋" w:hAnsi="仿宋" w:eastAsia="仿宋"/>
          <w:sz w:val="28"/>
          <w:szCs w:val="28"/>
        </w:rPr>
        <w:t xml:space="preserve">勿倒置</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p>
    <w:p>
      <w:pPr>
        <w:ind w:firstLine="660"/>
        <w:spacing w:line="520" w:lineRule="exact"/>
        <w:rPr>
          <w:rFonts w:hint="eastAsia" w:ascii="仿宋" w:hAnsi="仿宋" w:eastAsia="仿宋"/>
          <w:sz w:val="28"/>
          <w:szCs w:val="28"/>
        </w:rPr>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p>
    <w:p>
      <w:pPr>
        <w:spacing w:line="520" w:lineRule="exact"/>
        <w:rPr>
          <w:rFonts w:hint="eastAsia" w:ascii="仿宋" w:hAnsi="仿宋" w:eastAsia="仿宋"/>
          <w:sz w:val="28"/>
        </w:rPr>
      </w:pPr>
      <w:r>
        <w:rPr>
          <w:rFonts w:hint="eastAsia" w:ascii="仿宋" w:hAnsi="仿宋" w:eastAsia="仿宋"/>
          <w:sz w:val="28"/>
        </w:rPr>
        <w:t xml:space="preserve">6.付款方式</w:t>
      </w:r>
      <w:r/>
    </w:p>
    <w:p>
      <w:pPr>
        <w:ind w:firstLine="660"/>
        <w:spacing w:line="520" w:lineRule="exact"/>
        <w:rPr>
          <w:rFonts w:hint="eastAsia" w:ascii="仿宋" w:hAnsi="仿宋" w:eastAsia="仿宋"/>
          <w:sz w:val="28"/>
        </w:rPr>
      </w:pPr>
      <w:r>
        <w:rPr>
          <w:rFonts w:hint="eastAsia" w:ascii="仿宋" w:hAnsi="仿宋" w:eastAsia="仿宋"/>
          <w:sz w:val="28"/>
        </w:rPr>
        <w:t xml:space="preserve">6.1本合同以人民币付款。</w:t>
      </w:r>
      <w:r/>
    </w:p>
    <w:p>
      <w:pPr>
        <w:ind w:firstLine="660"/>
        <w:spacing w:line="520" w:lineRule="exact"/>
        <w:rPr>
          <w:rFonts w:hint="eastAsia" w:ascii="仿宋" w:hAnsi="仿宋" w:eastAsia="仿宋"/>
          <w:sz w:val="28"/>
        </w:rPr>
      </w:pPr>
      <w:r>
        <w:rPr>
          <w:rFonts w:hint="eastAsia" w:ascii="仿宋" w:hAnsi="仿宋" w:eastAsia="仿宋"/>
          <w:sz w:val="28"/>
        </w:rPr>
        <w:t xml:space="preserve">6.2乙方应按照与甲方签订的合同规定交货。交货后乙方向甲方提供下列单据，甲方按合同规定审核后付款:</w:t>
      </w:r>
      <w:r/>
    </w:p>
    <w:p>
      <w:pPr>
        <w:ind w:firstLine="660"/>
        <w:spacing w:line="520" w:lineRule="exact"/>
        <w:rPr>
          <w:rFonts w:hint="eastAsia" w:ascii="仿宋" w:hAnsi="仿宋" w:eastAsia="仿宋"/>
          <w:sz w:val="28"/>
        </w:rPr>
      </w:pPr>
      <w:r>
        <w:rPr>
          <w:rFonts w:hint="eastAsia" w:ascii="仿宋" w:hAnsi="仿宋" w:eastAsia="仿宋"/>
          <w:sz w:val="28"/>
        </w:rPr>
        <w:t xml:space="preserve">（1）发票；</w:t>
      </w:r>
      <w:r/>
    </w:p>
    <w:p>
      <w:pPr>
        <w:ind w:firstLine="660"/>
        <w:spacing w:line="520" w:lineRule="exact"/>
        <w:rPr>
          <w:rFonts w:hint="eastAsia" w:ascii="仿宋" w:hAnsi="仿宋" w:eastAsia="仿宋"/>
          <w:sz w:val="28"/>
        </w:rPr>
      </w:pPr>
      <w:r>
        <w:rPr>
          <w:rFonts w:hint="eastAsia" w:ascii="仿宋" w:hAnsi="仿宋" w:eastAsia="仿宋"/>
          <w:sz w:val="28"/>
        </w:rPr>
        <w:t xml:space="preserve">（2）制造厂家出具的质量检验证书等；</w:t>
      </w:r>
      <w:r/>
    </w:p>
    <w:p>
      <w:pPr>
        <w:ind w:firstLine="660"/>
        <w:spacing w:line="520" w:lineRule="exact"/>
        <w:rPr>
          <w:rFonts w:hint="eastAsia" w:ascii="仿宋" w:hAnsi="仿宋" w:eastAsia="仿宋"/>
          <w:sz w:val="28"/>
        </w:rPr>
      </w:pPr>
      <w:r>
        <w:rPr>
          <w:rFonts w:hint="eastAsia" w:ascii="仿宋" w:hAnsi="仿宋" w:eastAsia="仿宋"/>
          <w:sz w:val="28"/>
        </w:rPr>
        <w:t xml:space="preserve">（3）装箱单；</w:t>
      </w:r>
      <w:r/>
    </w:p>
    <w:p>
      <w:pPr>
        <w:ind w:firstLine="660"/>
        <w:spacing w:line="520" w:lineRule="exact"/>
        <w:rPr>
          <w:rFonts w:hint="eastAsia" w:ascii="仿宋" w:hAnsi="仿宋" w:eastAsia="仿宋"/>
          <w:sz w:val="28"/>
        </w:rPr>
      </w:pPr>
      <w:r>
        <w:rPr>
          <w:rFonts w:hint="eastAsia" w:ascii="仿宋" w:hAnsi="仿宋" w:eastAsia="仿宋"/>
          <w:sz w:val="28"/>
        </w:rPr>
        <w:t xml:space="preserve">（4）验收合格证；</w:t>
      </w:r>
      <w:r/>
    </w:p>
    <w:p>
      <w:pPr>
        <w:ind w:firstLine="660"/>
        <w:spacing w:line="520" w:lineRule="exact"/>
        <w:rPr>
          <w:rFonts w:hint="eastAsia" w:ascii="仿宋" w:hAnsi="仿宋" w:eastAsia="仿宋"/>
          <w:sz w:val="28"/>
        </w:rPr>
      </w:pPr>
      <w:r>
        <w:rPr>
          <w:rFonts w:hint="eastAsia" w:ascii="仿宋" w:hAnsi="仿宋" w:eastAsia="仿宋"/>
          <w:sz w:val="28"/>
        </w:rPr>
        <w:t xml:space="preserve">（5）使用方加盖公章证明货物交付使用合格的验收表。</w:t>
      </w:r>
      <w:r/>
    </w:p>
    <w:p>
      <w:pPr>
        <w:ind w:firstLine="660"/>
        <w:spacing w:line="520" w:lineRule="exact"/>
        <w:rPr>
          <w:rFonts w:hint="eastAsia" w:ascii="仿宋" w:hAnsi="仿宋" w:eastAsia="仿宋"/>
          <w:sz w:val="28"/>
        </w:rPr>
      </w:pPr>
      <w:r>
        <w:rPr>
          <w:rFonts w:hint="eastAsia" w:ascii="仿宋" w:hAnsi="仿宋" w:eastAsia="仿宋"/>
          <w:sz w:val="28"/>
        </w:rPr>
        <w:t xml:space="preserve">6.3甲方将按招标文件中规定的付款方式安排付款。</w:t>
      </w:r>
      <w:r/>
    </w:p>
    <w:p>
      <w:pPr>
        <w:spacing w:line="520" w:lineRule="exact"/>
        <w:rPr>
          <w:rFonts w:hint="eastAsia" w:ascii="仿宋" w:hAnsi="仿宋" w:eastAsia="仿宋"/>
          <w:sz w:val="28"/>
        </w:rPr>
      </w:pPr>
      <w:r>
        <w:rPr>
          <w:rFonts w:hint="eastAsia" w:ascii="仿宋" w:hAnsi="仿宋" w:eastAsia="仿宋"/>
          <w:sz w:val="28"/>
        </w:rPr>
        <w:t xml:space="preserve">7.伴随服务</w:t>
      </w:r>
      <w:r/>
    </w:p>
    <w:p>
      <w:pPr>
        <w:ind w:firstLine="660"/>
        <w:spacing w:line="520" w:lineRule="exact"/>
        <w:rPr>
          <w:rFonts w:hint="eastAsia" w:ascii="仿宋" w:hAnsi="仿宋" w:eastAsia="仿宋"/>
          <w:sz w:val="28"/>
        </w:rPr>
      </w:pPr>
      <w:r>
        <w:rPr>
          <w:rFonts w:hint="eastAsia" w:ascii="仿宋" w:hAnsi="仿宋" w:eastAsia="仿宋"/>
          <w:sz w:val="28"/>
        </w:rPr>
        <w:t xml:space="preserve">7.1乙方应按照国家有关规定和合同中所附的服务承诺提供服务。</w:t>
      </w:r>
      <w:r/>
    </w:p>
    <w:p>
      <w:pPr>
        <w:ind w:firstLine="660"/>
        <w:spacing w:line="520" w:lineRule="exact"/>
        <w:rPr>
          <w:rFonts w:hint="eastAsia" w:ascii="仿宋" w:hAnsi="仿宋" w:eastAsia="仿宋"/>
          <w:sz w:val="28"/>
        </w:rPr>
      </w:pPr>
      <w:r>
        <w:rPr>
          <w:rFonts w:hint="eastAsia" w:ascii="仿宋" w:hAnsi="仿宋" w:eastAsia="仿宋"/>
          <w:sz w:val="28"/>
        </w:rPr>
        <w:t xml:space="preserve">7.2除第7.1条规定外，乙方还应提供下列服务:</w:t>
      </w:r>
      <w:r/>
    </w:p>
    <w:p>
      <w:pPr>
        <w:ind w:firstLine="560"/>
        <w:spacing w:line="520" w:lineRule="exact"/>
        <w:rPr>
          <w:rFonts w:hint="eastAsia" w:ascii="仿宋" w:hAnsi="仿宋" w:eastAsia="仿宋"/>
          <w:sz w:val="28"/>
        </w:rPr>
      </w:pPr>
      <w:r>
        <w:rPr>
          <w:rFonts w:hint="eastAsia" w:ascii="仿宋" w:hAnsi="仿宋" w:eastAsia="仿宋"/>
          <w:sz w:val="28"/>
        </w:rPr>
        <w:t xml:space="preserve">（1）货物的现场安装和启动监督；</w:t>
      </w:r>
      <w:r/>
    </w:p>
    <w:p>
      <w:pPr>
        <w:ind w:firstLine="560"/>
        <w:spacing w:line="520" w:lineRule="exact"/>
        <w:rPr>
          <w:rFonts w:hint="eastAsia" w:ascii="仿宋" w:hAnsi="仿宋" w:eastAsia="仿宋"/>
          <w:sz w:val="28"/>
        </w:rPr>
      </w:pPr>
      <w:r>
        <w:rPr>
          <w:rFonts w:hint="eastAsia" w:ascii="仿宋" w:hAnsi="仿宋" w:eastAsia="仿宋"/>
          <w:sz w:val="28"/>
        </w:rPr>
        <w:t xml:space="preserve">（2）提供货物组装和维修所需的工具；</w:t>
      </w:r>
      <w:r/>
    </w:p>
    <w:p>
      <w:pPr>
        <w:ind w:firstLine="560"/>
        <w:spacing w:line="520" w:lineRule="exact"/>
        <w:rPr>
          <w:rFonts w:hint="eastAsia" w:ascii="仿宋" w:hAnsi="仿宋" w:eastAsia="仿宋"/>
          <w:sz w:val="28"/>
        </w:rPr>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p>
    <w:p>
      <w:pPr>
        <w:ind w:firstLine="560"/>
        <w:spacing w:line="520" w:lineRule="exact"/>
        <w:rPr>
          <w:rFonts w:hint="eastAsia" w:ascii="仿宋" w:hAnsi="仿宋" w:eastAsia="仿宋"/>
          <w:sz w:val="28"/>
        </w:rPr>
      </w:pPr>
      <w:r>
        <w:rPr>
          <w:rFonts w:hint="eastAsia" w:ascii="仿宋" w:hAnsi="仿宋" w:eastAsia="仿宋"/>
          <w:sz w:val="28"/>
        </w:rPr>
        <w:t xml:space="preserve">（4）在项目交货现场就货物的安装、启动、运行、维护对甲方人员进行培训。</w:t>
      </w:r>
      <w:r/>
    </w:p>
    <w:p>
      <w:pPr>
        <w:ind w:firstLine="660"/>
        <w:spacing w:line="520" w:lineRule="exact"/>
        <w:rPr>
          <w:rFonts w:hint="eastAsia" w:ascii="仿宋" w:hAnsi="仿宋" w:eastAsia="仿宋"/>
          <w:sz w:val="28"/>
        </w:rPr>
      </w:pPr>
      <w:r>
        <w:rPr>
          <w:rFonts w:hint="eastAsia" w:ascii="仿宋" w:hAnsi="仿宋" w:eastAsia="仿宋"/>
          <w:sz w:val="28"/>
        </w:rPr>
        <w:t xml:space="preserve">7.3伴随服务的费用应含在合同价中，不单独进行支付。</w:t>
      </w:r>
      <w:r/>
    </w:p>
    <w:p>
      <w:pPr>
        <w:spacing w:line="520" w:lineRule="exact"/>
        <w:rPr>
          <w:rFonts w:hint="eastAsia" w:ascii="仿宋" w:hAnsi="仿宋" w:eastAsia="仿宋"/>
          <w:sz w:val="28"/>
        </w:rPr>
      </w:pPr>
      <w:r>
        <w:rPr>
          <w:rFonts w:hint="eastAsia" w:ascii="仿宋" w:hAnsi="仿宋" w:eastAsia="仿宋"/>
          <w:sz w:val="28"/>
        </w:rPr>
        <w:t xml:space="preserve">8.质量保证</w:t>
      </w:r>
      <w:r/>
    </w:p>
    <w:p>
      <w:pPr>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p>
    <w:p>
      <w:pPr>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p>
    <w:p>
      <w:pPr>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p>
    <w:p>
      <w:pPr>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p>
    <w:p>
      <w:pPr>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p>
    <w:p>
      <w:pPr>
        <w:spacing w:line="520" w:lineRule="exact"/>
        <w:rPr>
          <w:rFonts w:hint="eastAsia" w:ascii="仿宋" w:hAnsi="仿宋" w:eastAsia="仿宋"/>
          <w:sz w:val="28"/>
        </w:rPr>
      </w:pPr>
      <w:r>
        <w:rPr>
          <w:rFonts w:hint="eastAsia" w:ascii="仿宋" w:hAnsi="仿宋" w:eastAsia="仿宋"/>
          <w:sz w:val="28"/>
        </w:rPr>
        <w:t xml:space="preserve">9.检验及安装</w:t>
      </w:r>
      <w:r/>
    </w:p>
    <w:p>
      <w:pPr>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p>
    <w:p>
      <w:pPr>
        <w:ind w:firstLine="660"/>
        <w:spacing w:line="520" w:lineRule="exact"/>
        <w:rPr>
          <w:rFonts w:hint="eastAsia"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p>
    <w:p>
      <w:pPr>
        <w:ind w:firstLine="660"/>
        <w:spacing w:line="520" w:lineRule="exact"/>
        <w:rPr>
          <w:rFonts w:hint="eastAsia"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p>
    <w:p>
      <w:pPr>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p>
    <w:p>
      <w:pPr>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p>
    <w:p>
      <w:pPr>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货物（含软件及相关服务）的安装按招标文件要求进行。</w:t>
      </w:r>
      <w:r/>
    </w:p>
    <w:p>
      <w:pPr>
        <w:ind w:firstLine="6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9.7电梯验收合格后，2个月内提供三套完整的电梯验收存档资料，逾期支付采购人1000元/天违约金。</w:t>
      </w:r>
      <w:r/>
    </w:p>
    <w:p>
      <w:pPr>
        <w:ind w:firstLine="6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9.8项目负责人须全过程参与电梯安装、调试、验收等工作，无故未请假私自离开工地现场处以500元/天违约金，该违约金直接从合同款中扣除。</w:t>
      </w:r>
      <w:r/>
    </w:p>
    <w:p>
      <w:pPr>
        <w:ind w:firstLine="6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9.9电梯的远程控制系统主要用于：</w:t>
      </w:r>
      <w:r/>
    </w:p>
    <w:p>
      <w:pPr>
        <w:ind w:firstLine="6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监测与诊断：</w:t>
      </w:r>
      <w:r/>
    </w:p>
    <w:p>
      <w:pPr>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状态监测：远程读取电梯的运行次数、故障代码、待机状态等数据。</w:t>
      </w:r>
      <w:r/>
    </w:p>
    <w:p>
      <w:pPr>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故障预警：通过对数据的分析，预测潜在故障，提醒维保单位进行预防性维护。</w:t>
      </w:r>
      <w:r/>
    </w:p>
    <w:p>
      <w:pPr>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困人安抚与报警：当发生困人时，远程系统可以自动启动语音安抚，并同步向物业和维保单位发送报警信息，但绝不能用于远程操作放人。</w:t>
      </w:r>
      <w:r/>
    </w:p>
    <w:p>
      <w:pPr>
        <w:ind w:firstLine="6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受限的远程操作（需严格授权与流程）：</w:t>
      </w:r>
      <w:r/>
    </w:p>
    <w:p>
      <w:pPr>
        <w:ind w:firstLine="6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停梯：在极端紧急情况下（如发生火灾、地震等灾害，且确认电梯内无人），经严格审批后，可远程将电梯锁定在安全楼层并停止运行。</w:t>
      </w:r>
      <w:r/>
    </w:p>
    <w:p>
      <w:pPr>
        <w:ind w:firstLine="6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 重启：在确认现场安全（通常需要现场人员核实）后，可对因软件死机等非机械故障停机的电梯进行远程重启。</w:t>
      </w:r>
      <w:r/>
    </w:p>
    <w:p>
      <w:pPr>
        <w:ind w:firstLine="6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 这些操作需要多重授权（如后台管理员+现场负责人确认），并记录详细日志。</w:t>
      </w:r>
      <w:r/>
    </w:p>
    <w:p>
      <w:pPr>
        <w:ind w:firstLine="660"/>
        <w:spacing w:line="520" w:lineRule="exact"/>
        <w:rPr>
          <w:rFonts w:hint="default" w:ascii="仿宋" w:hAnsi="仿宋" w:eastAsia="仿宋"/>
          <w:sz w:val="28"/>
          <w:szCs w:val="28"/>
          <w:lang w:val="en-US" w:eastAsia="zh-CN"/>
        </w:rPr>
      </w:pPr>
      <w:r>
        <w:rPr>
          <w:rFonts w:hint="eastAsia" w:ascii="仿宋" w:hAnsi="仿宋" w:eastAsia="仿宋"/>
          <w:sz w:val="28"/>
          <w:szCs w:val="28"/>
          <w:lang w:val="en-US" w:eastAsia="zh-CN"/>
        </w:rPr>
        <w:t xml:space="preserve">注：除以上情况外，维保单位或电梯生产厂家不得使用电梯远程控制系统操作电梯。</w:t>
      </w:r>
      <w:r/>
    </w:p>
    <w:p>
      <w:pPr>
        <w:ind w:firstLine="660"/>
        <w:spacing w:line="520" w:lineRule="exact"/>
        <w:rPr>
          <w:rFonts w:hint="eastAsia" w:ascii="仿宋" w:hAnsi="仿宋" w:eastAsia="仿宋"/>
          <w:sz w:val="28"/>
          <w:szCs w:val="28"/>
        </w:rPr>
      </w:pPr>
      <w:r>
        <w:rPr>
          <w:rFonts w:hint="eastAsia" w:ascii="仿宋" w:hAnsi="仿宋" w:eastAsia="仿宋"/>
          <w:sz w:val="28"/>
          <w:szCs w:val="28"/>
        </w:rPr>
        <w:t xml:space="preserve">10.索赔</w:t>
      </w:r>
      <w:r/>
    </w:p>
    <w:p>
      <w:pPr>
        <w:ind w:firstLine="658"/>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p>
    <w:p>
      <w:pPr>
        <w:ind w:firstLine="658"/>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0天内，乙方未能答复，上述索赔应视为已被乙方接受。若乙方未能在甲方提出索赔通知后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条规定的任何一种方法解决索赔事宜，甲方将从已付款或从乙方开具的履约保证金中扣回索赔金额。如果这些金额不足以补偿索赔金额，甲方有权向乙方提出不足部分的补偿。</w:t>
      </w:r>
      <w:r/>
    </w:p>
    <w:p>
      <w:pPr>
        <w:spacing w:line="520" w:lineRule="exact"/>
        <w:rPr>
          <w:rFonts w:hint="eastAsia" w:ascii="仿宋" w:hAnsi="仿宋" w:eastAsia="仿宋"/>
          <w:sz w:val="28"/>
        </w:rPr>
      </w:pPr>
      <w:r>
        <w:rPr>
          <w:rFonts w:hint="eastAsia" w:ascii="仿宋" w:hAnsi="仿宋" w:eastAsia="仿宋"/>
          <w:sz w:val="28"/>
        </w:rPr>
        <w:t xml:space="preserve">11.拖延交货</w:t>
      </w:r>
      <w:r/>
    </w:p>
    <w:p>
      <w:pPr>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p>
    <w:p>
      <w:pPr>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如果乙方毫无理由地拖延交货，将受到以下制裁:没收履约保证金，加收违约损失赔偿</w:t>
      </w:r>
      <w:r>
        <w:rPr>
          <w:rFonts w:hint="eastAsia" w:ascii="仿宋" w:hAnsi="仿宋" w:eastAsia="仿宋"/>
          <w:sz w:val="28"/>
          <w:szCs w:val="28"/>
          <w:u w:val="single"/>
        </w:rPr>
        <w:t xml:space="preserve">和／或</w:t>
      </w:r>
      <w:r>
        <w:rPr>
          <w:rFonts w:hint="eastAsia" w:ascii="仿宋" w:hAnsi="仿宋" w:eastAsia="仿宋"/>
          <w:sz w:val="28"/>
          <w:szCs w:val="28"/>
        </w:rPr>
        <w:t xml:space="preserve">终止合同。</w:t>
      </w:r>
      <w:r>
        <w:rPr>
          <w:rFonts w:ascii="仿宋" w:hAnsi="仿宋" w:eastAsia="仿宋"/>
          <w:sz w:val="28"/>
          <w:szCs w:val="28"/>
        </w:rPr>
        <w:t xml:space="preserve"> </w:t>
      </w:r>
      <w:r/>
    </w:p>
    <w:p>
      <w:pPr>
        <w:spacing w:line="520" w:lineRule="exact"/>
        <w:rPr>
          <w:rFonts w:hint="eastAsia" w:ascii="仿宋" w:hAnsi="仿宋" w:eastAsia="仿宋"/>
          <w:sz w:val="28"/>
          <w:szCs w:val="28"/>
        </w:rPr>
      </w:pPr>
      <w:r>
        <w:rPr>
          <w:rFonts w:hint="eastAsia" w:ascii="仿宋" w:hAnsi="仿宋" w:eastAsia="仿宋"/>
          <w:sz w:val="28"/>
        </w:rPr>
        <w:t xml:space="preserve">12.误期赔偿</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12.1除合同条款第13条规定外，如果乙方没有按照合同规定的时间交货和提供服务，甲方将从货款中扣除误期赔偿费而不影响合同项目的其他补救方法，乙方逾期交付货物的，乙方应按逾期交货总额每日</w:t>
      </w:r>
      <w:r>
        <w:rPr>
          <w:rFonts w:hint="eastAsia" w:ascii="仿宋" w:hAnsi="仿宋" w:eastAsia="仿宋"/>
          <w:sz w:val="28"/>
          <w:szCs w:val="28"/>
          <w:lang w:val="en-US" w:eastAsia="zh-CN"/>
        </w:rPr>
        <w:t xml:space="preserve">0.5%</w:t>
      </w:r>
      <w:r>
        <w:rPr>
          <w:rFonts w:hint="eastAsia" w:ascii="仿宋" w:hAnsi="仿宋" w:eastAsia="仿宋"/>
          <w:sz w:val="28"/>
          <w:szCs w:val="28"/>
        </w:rPr>
        <w:t xml:space="preserve">向甲方支付违约金，由甲方从待付货款中扣除。逾期超过约定日期10个工作日不能交货的，甲方可解除本合同。乙方因逾期交货或因其他违约行为导致甲方解除合同的，乙方应向甲方支付合同总值0.5% 的违约金，如造成甲方损失超过违约金的，超出部分由乙方继续承担赔偿责任。</w:t>
      </w:r>
      <w:r/>
    </w:p>
    <w:p>
      <w:pPr>
        <w:ind w:firstLine="567"/>
        <w:spacing w:line="520" w:lineRule="exact"/>
        <w:rPr>
          <w:rFonts w:hint="eastAsia" w:ascii="仿宋" w:hAnsi="仿宋" w:eastAsia="仿宋"/>
          <w:sz w:val="28"/>
          <w:szCs w:val="28"/>
        </w:rPr>
      </w:pPr>
      <w:r>
        <w:rPr>
          <w:rFonts w:hint="eastAsia" w:ascii="仿宋" w:hAnsi="仿宋" w:eastAsia="仿宋"/>
          <w:sz w:val="28"/>
          <w:szCs w:val="28"/>
        </w:rPr>
      </w:r>
      <w:r/>
    </w:p>
    <w:p>
      <w:pPr>
        <w:spacing w:line="520" w:lineRule="exact"/>
        <w:rPr>
          <w:rFonts w:hint="eastAsia" w:ascii="仿宋" w:hAnsi="仿宋" w:eastAsia="仿宋"/>
          <w:sz w:val="28"/>
          <w:szCs w:val="28"/>
        </w:rPr>
      </w:pPr>
      <w:r>
        <w:rPr>
          <w:rFonts w:hint="eastAsia" w:ascii="仿宋" w:hAnsi="仿宋" w:eastAsia="仿宋"/>
          <w:sz w:val="28"/>
        </w:rPr>
        <w:t xml:space="preserve">13.不可抗力</w:t>
      </w:r>
      <w:r/>
    </w:p>
    <w:p>
      <w:pPr>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p>
    <w:p>
      <w:pPr>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p>
    <w:p>
      <w:pPr>
        <w:spacing w:line="520" w:lineRule="exact"/>
        <w:rPr>
          <w:rFonts w:hint="eastAsia" w:ascii="仿宋" w:hAnsi="仿宋" w:eastAsia="仿宋"/>
          <w:sz w:val="28"/>
        </w:rPr>
      </w:pPr>
      <w:r>
        <w:rPr>
          <w:rFonts w:hint="eastAsia" w:ascii="仿宋" w:hAnsi="仿宋" w:eastAsia="仿宋"/>
          <w:sz w:val="28"/>
        </w:rPr>
        <w:t xml:space="preserve">14.税费</w:t>
      </w:r>
      <w:r/>
    </w:p>
    <w:p>
      <w:pPr>
        <w:ind w:firstLine="567"/>
        <w:spacing w:line="520" w:lineRule="exact"/>
        <w:rPr>
          <w:rFonts w:hint="eastAsia" w:ascii="仿宋" w:hAnsi="仿宋" w:eastAsia="仿宋"/>
          <w:sz w:val="28"/>
        </w:rPr>
      </w:pPr>
      <w:r>
        <w:rPr>
          <w:rFonts w:hint="eastAsia" w:ascii="仿宋" w:hAnsi="仿宋" w:eastAsia="仿宋"/>
          <w:sz w:val="28"/>
        </w:rPr>
        <w:t xml:space="preserve">14.1中国政府根据现行税法规定对甲方征收的与本合同有关的一切税费，均由甲方负担。</w:t>
      </w:r>
      <w:r/>
    </w:p>
    <w:p>
      <w:pPr>
        <w:ind w:firstLine="567"/>
        <w:spacing w:line="520" w:lineRule="exact"/>
        <w:rPr>
          <w:rFonts w:hint="eastAsia" w:ascii="仿宋" w:hAnsi="仿宋" w:eastAsia="仿宋"/>
          <w:sz w:val="28"/>
        </w:rPr>
      </w:pPr>
      <w:r>
        <w:rPr>
          <w:rFonts w:hint="eastAsia" w:ascii="仿宋" w:hAnsi="仿宋" w:eastAsia="仿宋"/>
          <w:sz w:val="28"/>
        </w:rPr>
        <w:t xml:space="preserve">14.2中国政府根据现行税法规定对乙方征收的与本合同有关的一切税费均由乙方负担。</w:t>
      </w:r>
      <w:r/>
    </w:p>
    <w:p>
      <w:pPr>
        <w:spacing w:line="520" w:lineRule="exact"/>
        <w:rPr>
          <w:rFonts w:hint="eastAsia" w:ascii="仿宋" w:hAnsi="仿宋" w:eastAsia="仿宋"/>
          <w:sz w:val="28"/>
          <w:szCs w:val="28"/>
        </w:rPr>
      </w:pPr>
      <w:r>
        <w:rPr>
          <w:rFonts w:hint="eastAsia" w:ascii="仿宋" w:hAnsi="仿宋" w:eastAsia="仿宋"/>
          <w:sz w:val="28"/>
          <w:szCs w:val="28"/>
        </w:rPr>
        <w:t xml:space="preserve">15.仲裁</w:t>
      </w:r>
      <w:r/>
    </w:p>
    <w:p>
      <w:pPr>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w:t>
      </w:r>
      <w:r>
        <w:rPr>
          <w:rFonts w:ascii="仿宋" w:hAnsi="仿宋" w:eastAsia="仿宋"/>
          <w:sz w:val="28"/>
          <w:szCs w:val="28"/>
        </w:rPr>
        <w:t xml:space="preserve">“</w:t>
      </w:r>
      <w:r>
        <w:rPr>
          <w:rFonts w:hint="eastAsia" w:ascii="仿宋" w:hAnsi="仿宋" w:eastAsia="仿宋"/>
          <w:sz w:val="28"/>
          <w:szCs w:val="28"/>
        </w:rPr>
        <w:t xml:space="preserve">《中华人民共和国民法典》合同编</w:t>
      </w:r>
      <w:r>
        <w:rPr>
          <w:rFonts w:ascii="仿宋" w:hAnsi="仿宋" w:eastAsia="仿宋"/>
          <w:sz w:val="28"/>
          <w:szCs w:val="28"/>
        </w:rPr>
        <w:t xml:space="preserve">”</w:t>
      </w:r>
      <w:r>
        <w:rPr>
          <w:rFonts w:hint="eastAsia" w:ascii="仿宋" w:hAnsi="仿宋" w:eastAsia="仿宋"/>
          <w:sz w:val="28"/>
          <w:szCs w:val="28"/>
        </w:rPr>
        <w:t xml:space="preserve">规定提交调解和仲裁。</w:t>
      </w:r>
      <w:r>
        <w:rPr>
          <w:rFonts w:ascii="仿宋" w:hAnsi="仿宋" w:eastAsia="仿宋"/>
          <w:sz w:val="28"/>
          <w:szCs w:val="28"/>
        </w:rPr>
        <w:t xml:space="preserve"> </w:t>
      </w:r>
      <w:r/>
    </w:p>
    <w:p>
      <w:pPr>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p>
    <w:p>
      <w:pPr>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p>
    <w:p>
      <w:pPr>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在仲裁期间，除正在进行仲裁的部分外，合同其它部分继续执行。</w:t>
      </w:r>
      <w:r>
        <w:rPr>
          <w:rFonts w:hint="eastAsia" w:ascii="仿宋" w:hAnsi="仿宋" w:eastAsia="仿宋"/>
          <w:b/>
          <w:sz w:val="28"/>
          <w:szCs w:val="28"/>
        </w:rPr>
        <w:t xml:space="preserve"> </w:t>
      </w:r>
      <w:r/>
    </w:p>
    <w:p>
      <w:pPr>
        <w:spacing w:line="520" w:lineRule="exact"/>
        <w:rPr>
          <w:rFonts w:hint="eastAsia" w:ascii="仿宋" w:hAnsi="仿宋" w:eastAsia="仿宋"/>
          <w:sz w:val="28"/>
          <w:szCs w:val="28"/>
        </w:rPr>
      </w:pPr>
      <w:r>
        <w:rPr>
          <w:rFonts w:hint="eastAsia" w:ascii="仿宋" w:hAnsi="仿宋" w:eastAsia="仿宋"/>
          <w:sz w:val="28"/>
          <w:szCs w:val="28"/>
        </w:rPr>
        <w:t xml:space="preserve">16.违约终止合同</w:t>
      </w:r>
      <w:r/>
    </w:p>
    <w:p>
      <w:pPr>
        <w:pStyle w:val="1057"/>
        <w:ind w:firstLine="560"/>
        <w:spacing w:line="520" w:lineRule="exact"/>
        <w:rPr>
          <w:rFonts w:hint="eastAsia" w:hAnsi="仿宋"/>
          <w:color w:val="000000"/>
          <w:sz w:val="28"/>
          <w:szCs w:val="28"/>
        </w:rPr>
      </w:pPr>
      <w:r>
        <w:rPr>
          <w:rFonts w:hint="eastAsia" w:hAnsi="仿宋"/>
          <w:color w:val="000000"/>
          <w:sz w:val="28"/>
          <w:szCs w:val="28"/>
        </w:rPr>
        <w:t xml:space="preserve">16</w:t>
      </w:r>
      <w:r>
        <w:rPr>
          <w:rFonts w:hAnsi="仿宋"/>
          <w:color w:val="000000"/>
          <w:sz w:val="28"/>
          <w:szCs w:val="28"/>
        </w:rPr>
        <w:t xml:space="preserve">.</w:t>
      </w:r>
      <w:r>
        <w:rPr>
          <w:rFonts w:hint="eastAsia" w:hAnsi="仿宋"/>
          <w:color w:val="000000"/>
          <w:sz w:val="28"/>
          <w:szCs w:val="28"/>
        </w:rPr>
        <w:t xml:space="preserve">1</w:t>
      </w:r>
      <w:r>
        <w:rPr>
          <w:rFonts w:hAnsi="仿宋"/>
          <w:color w:val="000000"/>
          <w:sz w:val="28"/>
          <w:szCs w:val="28"/>
        </w:rPr>
        <w:t xml:space="preserve"> </w:t>
      </w:r>
      <w:r>
        <w:rPr>
          <w:rFonts w:hint="eastAsia" w:hAnsi="仿宋"/>
          <w:color w:val="000000"/>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color w:val="000000"/>
          <w:sz w:val="28"/>
          <w:szCs w:val="28"/>
        </w:rPr>
        <w:t xml:space="preserve"> </w:t>
      </w:r>
      <w:r/>
    </w:p>
    <w:p>
      <w:pPr>
        <w:pStyle w:val="1057"/>
        <w:ind w:firstLine="560"/>
        <w:spacing w:line="520" w:lineRule="exact"/>
        <w:rPr>
          <w:rFonts w:hint="eastAsia" w:hAnsi="仿宋"/>
          <w:color w:val="000000"/>
          <w:sz w:val="28"/>
          <w:szCs w:val="28"/>
        </w:rPr>
      </w:pPr>
      <w:r>
        <w:rPr>
          <w:rFonts w:hint="eastAsia" w:hAnsi="仿宋"/>
          <w:color w:val="000000"/>
          <w:sz w:val="28"/>
          <w:szCs w:val="28"/>
        </w:rPr>
        <w:t xml:space="preserve">（1）如果乙方未能在合同规定的期限或甲方同意延期的限期内提供全部或部分货物（含软件及相关服务）；</w:t>
      </w:r>
      <w:r>
        <w:rPr>
          <w:rFonts w:hAnsi="仿宋"/>
          <w:color w:val="000000"/>
          <w:sz w:val="28"/>
          <w:szCs w:val="28"/>
        </w:rPr>
        <w:t xml:space="preserve"> </w:t>
      </w:r>
      <w:r/>
    </w:p>
    <w:p>
      <w:pPr>
        <w:pStyle w:val="1057"/>
        <w:ind w:firstLine="560"/>
        <w:spacing w:line="520" w:lineRule="exact"/>
        <w:rPr>
          <w:rFonts w:hint="eastAsia" w:hAnsi="仿宋"/>
          <w:color w:val="000000"/>
          <w:sz w:val="28"/>
          <w:szCs w:val="28"/>
        </w:rPr>
      </w:pPr>
      <w:r>
        <w:rPr>
          <w:rFonts w:hint="eastAsia" w:hAnsi="仿宋"/>
          <w:color w:val="000000"/>
          <w:sz w:val="28"/>
          <w:szCs w:val="28"/>
        </w:rPr>
        <w:t xml:space="preserve">（</w:t>
      </w:r>
      <w:r>
        <w:rPr>
          <w:rFonts w:hAnsi="仿宋"/>
          <w:color w:val="000000"/>
          <w:sz w:val="28"/>
          <w:szCs w:val="28"/>
        </w:rPr>
        <w:t xml:space="preserve">2</w:t>
      </w:r>
      <w:r>
        <w:rPr>
          <w:rFonts w:hint="eastAsia" w:hAnsi="仿宋"/>
          <w:color w:val="000000"/>
          <w:sz w:val="28"/>
          <w:szCs w:val="28"/>
        </w:rPr>
        <w:t xml:space="preserve">）如果乙方未能履行合同规定的其它义务。</w:t>
      </w:r>
      <w:r>
        <w:rPr>
          <w:rFonts w:hAnsi="仿宋"/>
          <w:color w:val="000000"/>
          <w:sz w:val="28"/>
          <w:szCs w:val="28"/>
        </w:rPr>
        <w:t xml:space="preserve"> </w:t>
      </w:r>
      <w:r/>
    </w:p>
    <w:p>
      <w:pPr>
        <w:pStyle w:val="1057"/>
        <w:ind w:firstLine="560"/>
        <w:spacing w:line="520" w:lineRule="exact"/>
        <w:rPr>
          <w:rFonts w:hint="eastAsia" w:hAnsi="仿宋"/>
          <w:color w:val="000000"/>
          <w:sz w:val="28"/>
          <w:szCs w:val="28"/>
        </w:rPr>
      </w:pPr>
      <w:r>
        <w:rPr>
          <w:rFonts w:hint="eastAsia" w:hAnsi="仿宋"/>
          <w:color w:val="000000"/>
          <w:sz w:val="28"/>
          <w:szCs w:val="28"/>
        </w:rPr>
        <w:t xml:space="preserve">16</w:t>
      </w:r>
      <w:r>
        <w:rPr>
          <w:rFonts w:hAnsi="仿宋"/>
          <w:color w:val="000000"/>
          <w:sz w:val="28"/>
          <w:szCs w:val="28"/>
        </w:rPr>
        <w:t xml:space="preserve">.2 </w:t>
      </w:r>
      <w:r>
        <w:rPr>
          <w:rFonts w:hint="eastAsia" w:hAnsi="仿宋"/>
          <w:color w:val="000000"/>
          <w:sz w:val="28"/>
          <w:szCs w:val="28"/>
        </w:rPr>
        <w:t xml:space="preserve">甲方根据第17</w:t>
      </w:r>
      <w:r>
        <w:rPr>
          <w:rFonts w:hAnsi="仿宋"/>
          <w:color w:val="000000"/>
          <w:sz w:val="28"/>
          <w:szCs w:val="28"/>
        </w:rPr>
        <w:t xml:space="preserve">.</w:t>
      </w:r>
      <w:r>
        <w:rPr>
          <w:rFonts w:hint="eastAsia" w:hAnsi="仿宋"/>
          <w:color w:val="000000"/>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1196"/>
        <w:spacing w:line="520" w:lineRule="exact"/>
        <w:rPr>
          <w:rFonts w:hint="eastAsia" w:ascii="仿宋" w:hAnsi="仿宋" w:eastAsia="仿宋"/>
          <w:sz w:val="28"/>
        </w:rPr>
      </w:pPr>
      <w:r>
        <w:rPr>
          <w:rFonts w:hint="eastAsia" w:ascii="仿宋" w:hAnsi="仿宋" w:eastAsia="仿宋"/>
          <w:sz w:val="28"/>
        </w:rPr>
        <w:t xml:space="preserve">17.破产中止合同</w:t>
      </w:r>
      <w:r/>
    </w:p>
    <w:p>
      <w:pPr>
        <w:pStyle w:val="1196"/>
        <w:spacing w:line="520" w:lineRule="exact"/>
        <w:rPr>
          <w:rFonts w:hint="eastAsia" w:ascii="仿宋" w:hAnsi="仿宋" w:eastAsia="仿宋"/>
          <w:sz w:val="28"/>
          <w:szCs w:val="24"/>
        </w:rPr>
      </w:pPr>
      <w:r>
        <w:rPr>
          <w:rFonts w:hint="eastAsia" w:ascii="仿宋" w:hAnsi="仿宋" w:eastAsia="仿宋"/>
          <w:sz w:val="28"/>
        </w:rPr>
        <w:t xml:space="preserve">   </w:t>
      </w:r>
      <w:r>
        <w:rPr>
          <w:rFonts w:hint="eastAsia" w:ascii="仿宋" w:hAnsi="仿宋" w:eastAsia="仿宋"/>
          <w:sz w:val="28"/>
          <w:szCs w:val="24"/>
        </w:rPr>
        <w:t xml:space="preserve"> 17.1如果乙方破产或无清偿能力，甲方可以在任何时候以书面形式通知乙方终止合同而不给乙方补偿。该终止合同将不损害或影响甲方和使用方已经采取或将要采取的任何行动或补救措施的权力。</w:t>
      </w:r>
      <w:r/>
    </w:p>
    <w:p>
      <w:pPr>
        <w:pStyle w:val="1196"/>
        <w:spacing w:line="520" w:lineRule="exact"/>
        <w:rPr>
          <w:rFonts w:hint="eastAsia" w:ascii="仿宋" w:hAnsi="仿宋" w:eastAsia="仿宋"/>
          <w:sz w:val="28"/>
        </w:rPr>
      </w:pPr>
      <w:r>
        <w:rPr>
          <w:rFonts w:hint="eastAsia" w:ascii="仿宋" w:hAnsi="仿宋" w:eastAsia="仿宋"/>
          <w:sz w:val="28"/>
        </w:rPr>
        <w:t xml:space="preserve">18.转让</w:t>
      </w:r>
      <w:r/>
    </w:p>
    <w:p>
      <w:pPr>
        <w:pStyle w:val="1196"/>
        <w:spacing w:line="520" w:lineRule="exact"/>
        <w:rPr>
          <w:rFonts w:hint="eastAsia" w:ascii="仿宋" w:hAnsi="仿宋" w:eastAsia="仿宋"/>
          <w:sz w:val="28"/>
        </w:rPr>
      </w:pPr>
      <w:r>
        <w:rPr>
          <w:rFonts w:hint="eastAsia" w:ascii="仿宋" w:hAnsi="仿宋" w:eastAsia="仿宋"/>
          <w:sz w:val="28"/>
        </w:rPr>
        <w:t xml:space="preserve">    </w:t>
      </w:r>
      <w:r>
        <w:rPr>
          <w:rFonts w:hint="eastAsia" w:ascii="仿宋" w:hAnsi="仿宋" w:eastAsia="仿宋"/>
          <w:sz w:val="28"/>
          <w:szCs w:val="24"/>
        </w:rPr>
        <w:t xml:space="preserve">18.1 除甲方事先书面同意外，乙方不得部分转让或全部转让其应履行的合同义务。</w:t>
      </w:r>
      <w:r/>
    </w:p>
    <w:p>
      <w:pPr>
        <w:pStyle w:val="1196"/>
        <w:spacing w:line="520" w:lineRule="exact"/>
        <w:rPr>
          <w:rFonts w:hint="eastAsia" w:ascii="仿宋" w:hAnsi="仿宋" w:eastAsia="仿宋"/>
          <w:b/>
          <w:sz w:val="28"/>
          <w:szCs w:val="28"/>
        </w:rPr>
      </w:pPr>
      <w:r>
        <w:rPr>
          <w:rFonts w:hint="eastAsia" w:ascii="仿宋" w:hAnsi="仿宋" w:eastAsia="仿宋"/>
          <w:sz w:val="28"/>
        </w:rPr>
        <w:t xml:space="preserve">19.合同生效及其它</w:t>
      </w:r>
      <w:r/>
    </w:p>
    <w:p>
      <w:pPr>
        <w:pStyle w:val="1196"/>
        <w:ind w:firstLine="560"/>
        <w:spacing w:line="520" w:lineRule="exact"/>
        <w:rPr>
          <w:rFonts w:hint="eastAsia" w:ascii="仿宋" w:hAnsi="仿宋" w:eastAsia="仿宋"/>
          <w:sz w:val="28"/>
          <w:szCs w:val="24"/>
        </w:rPr>
      </w:pPr>
      <w:r>
        <w:rPr>
          <w:rFonts w:hint="eastAsia" w:ascii="仿宋" w:hAnsi="仿宋" w:eastAsia="仿宋"/>
          <w:sz w:val="28"/>
          <w:szCs w:val="24"/>
        </w:rPr>
        <w:t xml:space="preserve">19.</w:t>
      </w:r>
      <w:r>
        <w:rPr>
          <w:rFonts w:hint="eastAsia" w:ascii="仿宋" w:hAnsi="仿宋" w:eastAsia="仿宋"/>
          <w:sz w:val="28"/>
          <w:szCs w:val="24"/>
          <w:lang w:val="en-US" w:eastAsia="zh-CN"/>
        </w:rPr>
        <w:t xml:space="preserve">1</w:t>
      </w:r>
      <w:r>
        <w:rPr>
          <w:rFonts w:hint="eastAsia" w:ascii="仿宋" w:hAnsi="仿宋" w:eastAsia="仿宋"/>
          <w:sz w:val="28"/>
          <w:szCs w:val="28"/>
        </w:rPr>
        <w:t xml:space="preserve">本合同经甲、乙双方加盖电子签章后生效。</w:t>
      </w:r>
      <w:r>
        <w:rPr>
          <w:rFonts w:hint="eastAsia" w:ascii="仿宋" w:hAnsi="仿宋" w:eastAsia="仿宋"/>
          <w:sz w:val="28"/>
          <w:szCs w:val="24"/>
        </w:rPr>
        <w:t xml:space="preserve">    </w:t>
      </w:r>
      <w:r/>
    </w:p>
    <w:p>
      <w:pPr>
        <w:pStyle w:val="1196"/>
        <w:spacing w:line="520" w:lineRule="exact"/>
        <w:rPr>
          <w:rFonts w:hint="eastAsia" w:ascii="仿宋" w:hAnsi="仿宋" w:eastAsia="仿宋"/>
          <w:sz w:val="28"/>
          <w:szCs w:val="24"/>
        </w:rPr>
      </w:pPr>
      <w:r>
        <w:rPr>
          <w:rFonts w:hint="eastAsia" w:ascii="仿宋" w:hAnsi="仿宋" w:eastAsia="仿宋"/>
          <w:sz w:val="28"/>
          <w:szCs w:val="24"/>
        </w:rPr>
        <w:t xml:space="preserve">    19.</w:t>
      </w:r>
      <w:r>
        <w:rPr>
          <w:rFonts w:hint="eastAsia" w:ascii="仿宋" w:hAnsi="仿宋" w:eastAsia="仿宋"/>
          <w:sz w:val="28"/>
          <w:szCs w:val="24"/>
          <w:lang w:val="en-US" w:eastAsia="zh-CN"/>
        </w:rPr>
        <w:t xml:space="preserve">2</w:t>
      </w:r>
      <w:r>
        <w:rPr>
          <w:rFonts w:hint="eastAsia" w:ascii="仿宋" w:hAnsi="仿宋" w:eastAsia="仿宋"/>
          <w:sz w:val="28"/>
          <w:szCs w:val="24"/>
        </w:rPr>
        <w:t xml:space="preserve">合同货物交付使用后所发生的合同纠纷，由甲方与乙方进行处理。</w:t>
      </w:r>
      <w:r/>
    </w:p>
    <w:p>
      <w:pPr>
        <w:pStyle w:val="1196"/>
        <w:spacing w:line="520" w:lineRule="exact"/>
        <w:rPr>
          <w:rFonts w:hint="eastAsia" w:ascii="仿宋" w:hAnsi="仿宋" w:eastAsia="仿宋"/>
          <w:sz w:val="28"/>
          <w:szCs w:val="24"/>
        </w:rPr>
      </w:pPr>
      <w:r>
        <w:rPr>
          <w:rFonts w:hint="eastAsia" w:ascii="仿宋" w:hAnsi="仿宋" w:eastAsia="仿宋"/>
          <w:sz w:val="28"/>
          <w:szCs w:val="24"/>
        </w:rPr>
        <w:t xml:space="preserve">    19.</w:t>
      </w:r>
      <w:r>
        <w:rPr>
          <w:rFonts w:hint="eastAsia" w:ascii="仿宋" w:hAnsi="仿宋" w:eastAsia="仿宋"/>
          <w:sz w:val="28"/>
          <w:szCs w:val="24"/>
          <w:lang w:val="en-US" w:eastAsia="zh-CN"/>
        </w:rPr>
        <w:t xml:space="preserve">3</w:t>
      </w:r>
      <w:r>
        <w:rPr>
          <w:rFonts w:hint="eastAsia" w:ascii="仿宋" w:hAnsi="仿宋" w:eastAsia="仿宋"/>
          <w:sz w:val="28"/>
          <w:szCs w:val="24"/>
        </w:rPr>
        <w:t xml:space="preserve">如需修改或补充合同内容，应经乙方、甲方协商，签署书面修改或补充协议。该协议将作为本合同不可分割的一部分。</w:t>
      </w:r>
      <w:r/>
    </w:p>
    <w:p>
      <w:pPr>
        <w:ind w:firstLine="560"/>
        <w:spacing w:line="520" w:lineRule="exact"/>
        <w:rPr>
          <w:rFonts w:hint="eastAsia" w:ascii="仿宋" w:hAnsi="仿宋" w:eastAsia="仿宋"/>
          <w:sz w:val="28"/>
        </w:rPr>
      </w:pPr>
      <w:r>
        <w:rPr>
          <w:rFonts w:hint="eastAsia" w:ascii="仿宋" w:hAnsi="仿宋" w:eastAsia="仿宋"/>
          <w:sz w:val="28"/>
        </w:rPr>
        <w:t xml:space="preserve">19.</w:t>
      </w:r>
      <w:r>
        <w:rPr>
          <w:rFonts w:hint="eastAsia" w:ascii="仿宋" w:hAnsi="仿宋" w:eastAsia="仿宋"/>
          <w:sz w:val="28"/>
          <w:lang w:val="en-US" w:eastAsia="zh-CN"/>
        </w:rPr>
        <w:t xml:space="preserve">4</w:t>
      </w:r>
      <w:r>
        <w:rPr>
          <w:rFonts w:hint="eastAsia" w:ascii="仿宋" w:hAnsi="仿宋" w:eastAsia="仿宋"/>
          <w:sz w:val="28"/>
        </w:rPr>
        <w:t xml:space="preserve">本合同应当按照中华人民共和国的现行法律进行解释。</w:t>
      </w:r>
      <w:r/>
    </w:p>
    <w:p>
      <w:pPr>
        <w:ind w:firstLine="560"/>
        <w:spacing w:line="520" w:lineRule="exact"/>
        <w:rPr>
          <w:rFonts w:hint="eastAsia" w:ascii="仿宋" w:hAnsi="仿宋" w:eastAsia="仿宋"/>
          <w:sz w:val="28"/>
        </w:rPr>
      </w:pPr>
      <w:r>
        <w:rPr>
          <w:rFonts w:hint="eastAsia" w:ascii="仿宋" w:hAnsi="仿宋" w:eastAsia="仿宋"/>
          <w:sz w:val="28"/>
        </w:rPr>
      </w:r>
      <w:r/>
    </w:p>
    <w:p>
      <w:pPr>
        <w:ind w:firstLine="560"/>
        <w:spacing w:line="520" w:lineRule="exact"/>
        <w:rPr>
          <w:rFonts w:hint="eastAsia" w:ascii="仿宋" w:hAnsi="仿宋" w:eastAsia="仿宋"/>
          <w:sz w:val="28"/>
        </w:rPr>
      </w:pPr>
      <w:r>
        <w:rPr>
          <w:rFonts w:hint="eastAsia" w:ascii="仿宋" w:hAnsi="仿宋" w:eastAsia="仿宋"/>
          <w:sz w:val="28"/>
        </w:rPr>
      </w:r>
      <w:r/>
    </w:p>
    <w:p>
      <w:pPr>
        <w:ind w:firstLine="560"/>
        <w:spacing w:line="520" w:lineRule="exact"/>
        <w:rPr>
          <w:rFonts w:hint="eastAsia" w:ascii="仿宋" w:hAnsi="仿宋" w:eastAsia="仿宋"/>
          <w:sz w:val="28"/>
        </w:rPr>
      </w:pPr>
      <w:r>
        <w:rPr>
          <w:rFonts w:hint="eastAsia" w:ascii="仿宋" w:hAnsi="仿宋" w:eastAsia="仿宋"/>
          <w:sz w:val="28"/>
        </w:rPr>
      </w:r>
      <w:r/>
    </w:p>
    <w:p>
      <w:pPr>
        <w:pageBreakBefore/>
        <w:spacing w:line="520" w:lineRule="exact"/>
        <w:rPr>
          <w:rFonts w:hint="eastAsia" w:ascii="仿宋" w:hAnsi="仿宋" w:eastAsia="仿宋"/>
          <w:bCs/>
          <w:sz w:val="28"/>
          <w:szCs w:val="28"/>
        </w:rPr>
      </w:pPr>
      <w:r>
        <w:rPr>
          <w:rFonts w:hint="eastAsia" w:ascii="仿宋" w:hAnsi="仿宋" w:eastAsia="仿宋"/>
          <w:bCs/>
          <w:sz w:val="28"/>
          <w:szCs w:val="28"/>
        </w:rPr>
        <w:t xml:space="preserve">合同附件：</w:t>
      </w:r>
      <w:r/>
    </w:p>
    <w:p>
      <w:pPr>
        <w:ind w:firstLine="562"/>
        <w:jc w:val="center"/>
        <w:spacing w:line="520" w:lineRule="exact"/>
        <w:rPr>
          <w:rFonts w:hint="eastAsia" w:ascii="仿宋" w:hAnsi="仿宋" w:eastAsia="仿宋"/>
          <w:b/>
          <w:bCs/>
          <w:sz w:val="28"/>
          <w:szCs w:val="28"/>
        </w:rPr>
      </w:pPr>
      <w:r>
        <w:rPr>
          <w:rFonts w:hint="eastAsia" w:ascii="仿宋" w:hAnsi="仿宋" w:eastAsia="仿宋"/>
          <w:b/>
          <w:bCs/>
          <w:sz w:val="28"/>
          <w:szCs w:val="28"/>
        </w:rPr>
        <w:t xml:space="preserve">建设工程承发包安全管理协议</w:t>
      </w:r>
      <w:r/>
    </w:p>
    <w:p>
      <w:pPr>
        <w:ind w:firstLine="573"/>
        <w:spacing w:line="480" w:lineRule="exact"/>
        <w:rPr>
          <w:rFonts w:hint="eastAsia" w:ascii="仿宋" w:hAnsi="仿宋" w:eastAsia="仿宋"/>
          <w:sz w:val="28"/>
          <w:szCs w:val="28"/>
        </w:rPr>
      </w:pPr>
      <w:r>
        <w:rPr>
          <w:rFonts w:hint="eastAsia" w:ascii="仿宋" w:hAnsi="仿宋" w:eastAsia="仿宋"/>
          <w:sz w:val="28"/>
          <w:szCs w:val="28"/>
        </w:rPr>
        <w:t xml:space="preserve">发包单位：</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 (以下简称甲方)</w:t>
      </w:r>
      <w:r/>
    </w:p>
    <w:p>
      <w:pPr>
        <w:ind w:firstLine="573"/>
        <w:spacing w:line="480" w:lineRule="exact"/>
        <w:rPr>
          <w:rFonts w:hint="eastAsia" w:ascii="仿宋" w:hAnsi="仿宋" w:eastAsia="仿宋"/>
          <w:sz w:val="28"/>
          <w:szCs w:val="28"/>
        </w:rPr>
      </w:pPr>
      <w:r>
        <w:rPr>
          <w:rFonts w:hint="eastAsia" w:ascii="仿宋" w:hAnsi="仿宋" w:eastAsia="仿宋"/>
          <w:sz w:val="28"/>
          <w:szCs w:val="28"/>
        </w:rPr>
        <w:t xml:space="preserve">承包单位：                               (以下简称乙方)</w:t>
      </w:r>
      <w:r/>
    </w:p>
    <w:p>
      <w:pPr>
        <w:ind w:firstLine="573"/>
        <w:spacing w:line="480" w:lineRule="exact"/>
        <w:rPr>
          <w:rFonts w:hint="eastAsia" w:ascii="仿宋" w:hAnsi="仿宋" w:eastAsia="仿宋"/>
          <w:sz w:val="28"/>
          <w:szCs w:val="28"/>
        </w:rPr>
      </w:pPr>
      <w:r>
        <w:rPr>
          <w:rFonts w:hint="eastAsia" w:ascii="仿宋" w:hAnsi="仿宋" w:eastAsia="仿宋"/>
          <w:sz w:val="28"/>
          <w:szCs w:val="28"/>
        </w:rPr>
        <w:t xml:space="preserve">甲方将本建筑安装工程项目发包给乙方施工，为贯彻“安全第一、预防为主”的方针，根据《江苏省工程安全管理暂行规定》和国家有关法规，明确双方的安全生产责任，确保施工安全，双方在签订建筑安装工程合同的同时，签订本协议。</w:t>
      </w:r>
      <w:r/>
    </w:p>
    <w:p>
      <w:pPr>
        <w:ind w:firstLine="573"/>
        <w:spacing w:line="480" w:lineRule="exact"/>
        <w:rPr>
          <w:rFonts w:hint="eastAsia" w:ascii="仿宋" w:hAnsi="仿宋" w:eastAsia="仿宋"/>
          <w:sz w:val="28"/>
          <w:szCs w:val="28"/>
        </w:rPr>
      </w:pPr>
      <w:r>
        <w:rPr>
          <w:rFonts w:hint="eastAsia" w:ascii="仿宋" w:hAnsi="仿宋" w:eastAsia="仿宋"/>
          <w:sz w:val="28"/>
          <w:szCs w:val="28"/>
        </w:rPr>
        <w:t xml:space="preserve">一、承包施工项目</w:t>
      </w:r>
      <w:r/>
    </w:p>
    <w:p>
      <w:pPr>
        <w:ind w:firstLine="573"/>
        <w:spacing w:line="480" w:lineRule="exact"/>
        <w:rPr>
          <w:rFonts w:hint="eastAsia" w:ascii="仿宋" w:hAnsi="仿宋" w:eastAsia="仿宋"/>
          <w:sz w:val="28"/>
          <w:szCs w:val="28"/>
        </w:rPr>
      </w:pPr>
      <w:r>
        <w:rPr>
          <w:rFonts w:hint="eastAsia" w:ascii="仿宋" w:hAnsi="仿宋" w:eastAsia="仿宋"/>
          <w:sz w:val="28"/>
          <w:szCs w:val="28"/>
        </w:rPr>
        <w:t xml:space="preserve">工程名称： </w:t>
      </w:r>
      <w:r/>
    </w:p>
    <w:p>
      <w:pPr>
        <w:ind w:firstLine="573"/>
        <w:spacing w:line="480" w:lineRule="exact"/>
        <w:rPr>
          <w:rFonts w:hint="eastAsia" w:ascii="仿宋" w:hAnsi="仿宋" w:eastAsia="仿宋"/>
          <w:sz w:val="28"/>
          <w:szCs w:val="28"/>
        </w:rPr>
      </w:pPr>
      <w:r>
        <w:rPr>
          <w:rFonts w:hint="eastAsia" w:ascii="仿宋" w:hAnsi="仿宋" w:eastAsia="仿宋"/>
          <w:sz w:val="28"/>
          <w:szCs w:val="28"/>
        </w:rPr>
        <w:t xml:space="preserve">工程地址： </w:t>
      </w:r>
      <w:r/>
    </w:p>
    <w:p>
      <w:pPr>
        <w:ind w:firstLine="573"/>
        <w:spacing w:line="480" w:lineRule="exact"/>
        <w:rPr>
          <w:rFonts w:hint="eastAsia" w:ascii="仿宋" w:hAnsi="仿宋" w:eastAsia="仿宋"/>
          <w:sz w:val="28"/>
          <w:szCs w:val="28"/>
        </w:rPr>
      </w:pPr>
      <w:r>
        <w:rPr>
          <w:rFonts w:hint="eastAsia" w:ascii="仿宋" w:hAnsi="仿宋" w:eastAsia="仿宋"/>
          <w:sz w:val="28"/>
          <w:szCs w:val="28"/>
        </w:rPr>
        <w:t xml:space="preserve">承包范围：与本工程相关联的全部工作</w:t>
      </w:r>
      <w:r/>
    </w:p>
    <w:p>
      <w:pPr>
        <w:ind w:firstLine="573"/>
        <w:spacing w:line="480" w:lineRule="exact"/>
        <w:rPr>
          <w:rFonts w:hint="eastAsia" w:ascii="仿宋" w:hAnsi="仿宋" w:eastAsia="仿宋"/>
          <w:sz w:val="28"/>
          <w:szCs w:val="28"/>
        </w:rPr>
      </w:pPr>
      <w:r>
        <w:rPr>
          <w:rFonts w:hint="eastAsia" w:ascii="仿宋" w:hAnsi="仿宋" w:eastAsia="仿宋"/>
          <w:sz w:val="28"/>
          <w:szCs w:val="28"/>
        </w:rPr>
        <w:t xml:space="preserve">二 、协议内容</w:t>
      </w:r>
      <w:r/>
    </w:p>
    <w:p>
      <w:pPr>
        <w:ind w:firstLine="573"/>
        <w:spacing w:line="480" w:lineRule="exact"/>
        <w:rPr>
          <w:rFonts w:hint="eastAsia" w:ascii="仿宋" w:hAnsi="仿宋" w:eastAsia="仿宋"/>
          <w:sz w:val="28"/>
          <w:szCs w:val="28"/>
        </w:rPr>
      </w:pPr>
      <w:r>
        <w:rPr>
          <w:rFonts w:hint="eastAsia" w:ascii="仿宋" w:hAnsi="仿宋" w:eastAsia="仿宋"/>
          <w:sz w:val="28"/>
          <w:szCs w:val="28"/>
        </w:rPr>
        <w:t xml:space="preserve">1、乙方必须认真贯彻国家、江苏省和上级劳动保护、安全生产主管部门颁发的有关安全生产、消防工作的方针、政策、严格执行有关劳动保护法规、条例、规定。</w:t>
      </w:r>
      <w:r/>
    </w:p>
    <w:p>
      <w:pPr>
        <w:ind w:firstLine="573"/>
        <w:spacing w:line="480" w:lineRule="exact"/>
        <w:rPr>
          <w:rFonts w:hint="eastAsia" w:ascii="仿宋" w:hAnsi="仿宋" w:eastAsia="仿宋"/>
          <w:sz w:val="28"/>
          <w:szCs w:val="28"/>
        </w:rPr>
      </w:pPr>
      <w:r>
        <w:rPr>
          <w:rFonts w:hint="eastAsia" w:ascii="仿宋" w:hAnsi="仿宋" w:eastAsia="仿宋"/>
          <w:sz w:val="28"/>
          <w:szCs w:val="28"/>
        </w:rPr>
        <w:t xml:space="preserve">2、乙方应有安全管理组织体制，包括抓安全生产的领导，各级专职和兼职的安全干部，应有各工种的安全操作规程，特种作业人员的验证考核制度及各级安全生产岗位责任制和定期安全检查制度， 安全教育制度等。</w:t>
      </w:r>
      <w:r/>
    </w:p>
    <w:p>
      <w:pPr>
        <w:ind w:firstLine="573"/>
        <w:spacing w:line="480" w:lineRule="exact"/>
        <w:rPr>
          <w:rFonts w:hint="eastAsia" w:ascii="仿宋" w:hAnsi="仿宋" w:eastAsia="仿宋"/>
          <w:sz w:val="28"/>
          <w:szCs w:val="28"/>
        </w:rPr>
      </w:pPr>
      <w:r>
        <w:rPr>
          <w:rFonts w:hint="eastAsia" w:ascii="仿宋" w:hAnsi="仿宋" w:eastAsia="仿宋"/>
          <w:sz w:val="28"/>
          <w:szCs w:val="28"/>
        </w:rPr>
        <w:t xml:space="preserve">3、乙方在施工前要认真勘查现场，进场后首先必须做好施工现场围护，防止闲杂人员进入施工现场，发生安全事故。</w:t>
      </w:r>
      <w:r/>
    </w:p>
    <w:p>
      <w:pPr>
        <w:ind w:firstLine="573"/>
        <w:spacing w:line="480" w:lineRule="exact"/>
        <w:rPr>
          <w:rFonts w:hint="eastAsia" w:ascii="仿宋" w:hAnsi="仿宋" w:eastAsia="仿宋"/>
          <w:sz w:val="28"/>
          <w:szCs w:val="28"/>
        </w:rPr>
      </w:pPr>
      <w:r>
        <w:rPr>
          <w:rFonts w:hint="eastAsia" w:ascii="仿宋" w:hAnsi="仿宋" w:eastAsia="仿宋"/>
          <w:sz w:val="28"/>
          <w:szCs w:val="28"/>
        </w:rPr>
        <w:t xml:space="preserve">4、乙方有关领导必须认真对本单位职工进行安全生产制度及安全技术知识教育，增强法治观念，增强职工的安全生产思想意识和自我保护的能力，督促职工自觉遵守安全生产纪律、制度和法规。</w:t>
      </w:r>
      <w:r/>
    </w:p>
    <w:p>
      <w:pPr>
        <w:ind w:firstLine="573"/>
        <w:spacing w:line="480" w:lineRule="exact"/>
        <w:rPr>
          <w:rFonts w:hint="eastAsia" w:ascii="仿宋" w:hAnsi="仿宋" w:eastAsia="仿宋"/>
          <w:sz w:val="28"/>
          <w:szCs w:val="28"/>
        </w:rPr>
      </w:pPr>
      <w:r>
        <w:rPr>
          <w:rFonts w:hint="eastAsia" w:ascii="仿宋" w:hAnsi="仿宋" w:eastAsia="仿宋"/>
          <w:sz w:val="28"/>
          <w:szCs w:val="28"/>
        </w:rPr>
        <w:t xml:space="preserve">5、施工前对乙方的管理、施工人员进行安全生产进场教育，介绍有关安全生产管理制度、规定和要求，乙方应组织召开管理、施工人员安全生产教育会议；乙方必须检查、督促施工人员严格遵守、认真执行。</w:t>
      </w:r>
      <w:r/>
    </w:p>
    <w:p>
      <w:pPr>
        <w:ind w:firstLine="573"/>
        <w:spacing w:line="480" w:lineRule="exact"/>
        <w:rPr>
          <w:rFonts w:hint="eastAsia" w:ascii="仿宋" w:hAnsi="仿宋" w:eastAsia="仿宋"/>
          <w:sz w:val="28"/>
          <w:szCs w:val="28"/>
        </w:rPr>
      </w:pPr>
      <w:r>
        <w:rPr>
          <w:rFonts w:hint="eastAsia" w:ascii="仿宋" w:hAnsi="仿宋" w:eastAsia="仿宋"/>
          <w:sz w:val="28"/>
          <w:szCs w:val="28"/>
        </w:rPr>
        <w:t xml:space="preserve">6、乙方在施工期间必须严格执行和遵守安全生产、防火管理的各项规定，接受甲方、社区和物业的督促、检查和指导。</w:t>
      </w:r>
      <w:r/>
    </w:p>
    <w:p>
      <w:pPr>
        <w:ind w:firstLine="573"/>
        <w:spacing w:line="480" w:lineRule="exact"/>
        <w:rPr>
          <w:rFonts w:hint="eastAsia" w:ascii="仿宋" w:hAnsi="仿宋" w:eastAsia="仿宋"/>
          <w:sz w:val="28"/>
          <w:szCs w:val="28"/>
        </w:rPr>
      </w:pPr>
      <w:r>
        <w:rPr>
          <w:rFonts w:hint="eastAsia" w:ascii="仿宋" w:hAnsi="仿宋" w:eastAsia="仿宋"/>
          <w:sz w:val="28"/>
          <w:szCs w:val="28"/>
        </w:rPr>
        <w:t xml:space="preserve">7、在生产操作过程中的个人防护用品，由各方自理，甲乙双方都应督促施工现场人员自觉穿戴好 防护用品。</w:t>
      </w:r>
      <w:r/>
    </w:p>
    <w:p>
      <w:pPr>
        <w:ind w:firstLine="573"/>
        <w:spacing w:line="480" w:lineRule="exact"/>
        <w:rPr>
          <w:rFonts w:hint="eastAsia" w:ascii="仿宋" w:hAnsi="仿宋" w:eastAsia="仿宋"/>
          <w:sz w:val="28"/>
          <w:szCs w:val="28"/>
        </w:rPr>
      </w:pPr>
      <w:r>
        <w:rPr>
          <w:rFonts w:hint="eastAsia" w:ascii="仿宋" w:hAnsi="仿宋" w:eastAsia="仿宋"/>
          <w:sz w:val="28"/>
          <w:szCs w:val="28"/>
        </w:rPr>
        <w:t xml:space="preserve">8、乙方人员对不同施工区域、作业环境、操作设施设备、工具用具等必须认真检查，发现隐患立即停止施工，并由有关单位落实整改后方准施工。 一经施工，就表示乙方确认施工场所、作业环境、 设施设备、工具用具等符合安全要求和处于安全状态。乙方对施工过程中由于上述因素不良而导致的事故后果负全部责任。</w:t>
      </w:r>
      <w:r/>
    </w:p>
    <w:p>
      <w:pPr>
        <w:ind w:firstLine="573"/>
        <w:spacing w:line="480" w:lineRule="exact"/>
        <w:rPr>
          <w:rFonts w:hint="eastAsia" w:ascii="仿宋" w:hAnsi="仿宋" w:eastAsia="仿宋"/>
          <w:sz w:val="28"/>
          <w:szCs w:val="28"/>
        </w:rPr>
      </w:pPr>
      <w:r>
        <w:rPr>
          <w:rFonts w:hint="eastAsia" w:ascii="仿宋" w:hAnsi="仿宋" w:eastAsia="仿宋"/>
          <w:sz w:val="28"/>
          <w:szCs w:val="28"/>
        </w:rPr>
        <w:t xml:space="preserve">9、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ind w:firstLine="573"/>
        <w:spacing w:line="480" w:lineRule="exact"/>
        <w:rPr>
          <w:rFonts w:hint="eastAsia" w:ascii="仿宋" w:hAnsi="仿宋" w:eastAsia="仿宋"/>
          <w:sz w:val="28"/>
          <w:szCs w:val="28"/>
        </w:rPr>
      </w:pPr>
      <w:r>
        <w:rPr>
          <w:rFonts w:hint="eastAsia" w:ascii="仿宋" w:hAnsi="仿宋" w:eastAsia="仿宋"/>
          <w:sz w:val="28"/>
          <w:szCs w:val="28"/>
        </w:rPr>
        <w:t xml:space="preserve">10、乙方人员对施工的现场脚手架、各类安全防护设施、安全标志和警告牌，不得擅自拆除、更动。如确实需要拆除更动的，必须经监理和乙方指派的安全管理人员同意，并采取必要、可靠的 安全措施后方能拆除。如擅自拆除所造成的后果，由乙方人员及其单位负责。</w:t>
      </w:r>
      <w:r/>
    </w:p>
    <w:p>
      <w:pPr>
        <w:ind w:firstLine="573"/>
        <w:spacing w:line="480" w:lineRule="exact"/>
        <w:rPr>
          <w:rFonts w:hint="eastAsia" w:ascii="仿宋" w:hAnsi="仿宋" w:eastAsia="仿宋"/>
          <w:sz w:val="28"/>
          <w:szCs w:val="28"/>
        </w:rPr>
      </w:pPr>
      <w:r>
        <w:rPr>
          <w:rFonts w:hint="eastAsia" w:ascii="仿宋" w:hAnsi="仿宋" w:eastAsia="仿宋"/>
          <w:sz w:val="28"/>
          <w:szCs w:val="28"/>
        </w:rPr>
        <w:t xml:space="preserve">11、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 严禁不懂电器、机械的人擅自操作使用电器、机械设备。</w:t>
      </w:r>
      <w:r/>
    </w:p>
    <w:p>
      <w:pPr>
        <w:ind w:firstLine="573"/>
        <w:spacing w:line="480" w:lineRule="exact"/>
        <w:rPr>
          <w:rFonts w:hint="eastAsia" w:ascii="仿宋" w:hAnsi="仿宋" w:eastAsia="仿宋"/>
          <w:sz w:val="28"/>
          <w:szCs w:val="28"/>
        </w:rPr>
      </w:pPr>
      <w:r>
        <w:rPr>
          <w:rFonts w:hint="eastAsia" w:ascii="仿宋" w:hAnsi="仿宋" w:eastAsia="仿宋"/>
          <w:sz w:val="28"/>
          <w:szCs w:val="28"/>
        </w:rPr>
        <w:t xml:space="preserve">12、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ind w:firstLine="573"/>
        <w:spacing w:line="480" w:lineRule="exact"/>
        <w:rPr>
          <w:rFonts w:hint="eastAsia" w:ascii="仿宋" w:hAnsi="仿宋" w:eastAsia="仿宋"/>
          <w:sz w:val="28"/>
          <w:szCs w:val="28"/>
        </w:rPr>
      </w:pPr>
      <w:r>
        <w:rPr>
          <w:rFonts w:hint="eastAsia" w:ascii="仿宋" w:hAnsi="仿宋" w:eastAsia="仿宋"/>
          <w:sz w:val="28"/>
          <w:szCs w:val="28"/>
        </w:rPr>
        <w:t xml:space="preserve">13、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电饭锅、电取暖器等，防止漏电触电事故发生。</w:t>
      </w:r>
      <w:r/>
    </w:p>
    <w:p>
      <w:pPr>
        <w:ind w:firstLine="573"/>
        <w:spacing w:line="480" w:lineRule="exact"/>
        <w:rPr>
          <w:rFonts w:hint="eastAsia" w:ascii="仿宋" w:hAnsi="仿宋" w:eastAsia="仿宋"/>
          <w:sz w:val="28"/>
          <w:szCs w:val="28"/>
        </w:rPr>
      </w:pPr>
      <w:r>
        <w:rPr>
          <w:rFonts w:hint="eastAsia" w:ascii="仿宋" w:hAnsi="仿宋" w:eastAsia="仿宋"/>
          <w:sz w:val="28"/>
          <w:szCs w:val="28"/>
        </w:rPr>
        <w:t xml:space="preserve">14、贯彻谁施工谁负责安全的原则。乙方在施工过程中发生的人身伤亡、火警、火灾等一切事故， 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pStyle w:val="674"/>
        <w:ind w:firstLine="560"/>
        <w:keepLines w:val="0"/>
        <w:keepNext w:val="0"/>
        <w:pageBreakBefore w:val="0"/>
        <w:spacing w:after="0" w:line="480" w:lineRule="exact"/>
        <w:widowControl w:val="off"/>
        <w:rPr>
          <w:rFonts w:hint="default" w:ascii="仿宋" w:hAnsi="仿宋" w:eastAsia="仿宋" w:cs="Times New Roman"/>
          <w:sz w:val="28"/>
          <w:szCs w:val="28"/>
          <w:lang w:val="en-US" w:eastAsia="zh-CN" w:bidi="ar-SA"/>
        </w:rPr>
      </w:pPr>
      <w:r>
        <w:rPr>
          <w:rFonts w:hint="eastAsia" w:ascii="仿宋" w:hAnsi="仿宋" w:eastAsia="仿宋"/>
          <w:sz w:val="28"/>
          <w:szCs w:val="28"/>
        </w:rPr>
        <w:t xml:space="preserve">15、</w:t>
      </w:r>
      <w:r>
        <w:rPr>
          <w:rFonts w:hint="eastAsia" w:ascii="仿宋" w:hAnsi="仿宋" w:eastAsia="仿宋" w:cs="Times New Roman"/>
          <w:sz w:val="28"/>
          <w:szCs w:val="28"/>
          <w:lang w:val="en-US" w:eastAsia="zh-CN" w:bidi="ar-SA"/>
        </w:rPr>
        <w:t xml:space="preserve">因乙方原因造成的任何事故(包括第三方人员在内)，所造成依法应该支付的损失赔偿费, 抚恤费和法律责任均应由乙方负责；甲方对任何雇员的意外或伤亡，不论该人是受雇于乙方或其分包人，皆不负任何法律上的赔偿责任，乙方须保障甲方免负任何有关的索偿、要求、诉讼、成本、费用和支出。</w:t>
      </w:r>
      <w:r/>
    </w:p>
    <w:p>
      <w:pPr>
        <w:ind w:firstLine="573"/>
        <w:spacing w:line="480" w:lineRule="exact"/>
        <w:rPr>
          <w:rFonts w:hint="eastAsia" w:ascii="仿宋" w:hAnsi="仿宋" w:eastAsia="仿宋"/>
          <w:sz w:val="28"/>
          <w:szCs w:val="28"/>
        </w:rPr>
      </w:pPr>
      <w:r>
        <w:rPr>
          <w:rFonts w:hint="eastAsia" w:ascii="仿宋" w:hAnsi="仿宋" w:eastAsia="仿宋"/>
          <w:sz w:val="28"/>
          <w:szCs w:val="28"/>
          <w:lang w:val="en-US" w:eastAsia="zh-CN"/>
        </w:rPr>
        <w:t xml:space="preserve">16、</w:t>
      </w:r>
      <w:r>
        <w:rPr>
          <w:rFonts w:hint="eastAsia" w:ascii="仿宋" w:hAnsi="仿宋" w:eastAsia="仿宋"/>
          <w:sz w:val="28"/>
          <w:szCs w:val="28"/>
        </w:rPr>
        <w:t xml:space="preserve">本协议经立协双方签字、盖章有效。作为合同正本的附件一式二份，甲、乙双方各执一份。</w:t>
      </w:r>
      <w:r/>
    </w:p>
    <w:p>
      <w:pPr>
        <w:ind w:firstLine="573"/>
        <w:spacing w:line="480" w:lineRule="exact"/>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、本协议同工程合同正本同日生效，甲、乙双方必须严格执行，由于违反本协议而造成伤亡事故，由违约方承担一切责任。</w:t>
      </w:r>
      <w:r/>
    </w:p>
    <w:p>
      <w:pPr>
        <w:ind w:firstLine="573"/>
        <w:spacing w:line="480" w:lineRule="exact"/>
        <w:rPr>
          <w:rFonts w:hint="eastAsia" w:ascii="仿宋" w:hAnsi="仿宋" w:eastAsia="仿宋"/>
          <w:sz w:val="28"/>
          <w:szCs w:val="28"/>
        </w:rPr>
      </w:pPr>
      <w:r>
        <w:rPr>
          <w:rFonts w:hint="eastAsia" w:ascii="仿宋" w:hAnsi="仿宋" w:eastAsia="仿宋"/>
          <w:sz w:val="28"/>
          <w:szCs w:val="28"/>
        </w:rPr>
      </w:r>
      <w:r/>
    </w:p>
    <w:p>
      <w:pPr>
        <w:ind w:firstLine="573"/>
        <w:spacing w:line="480" w:lineRule="exact"/>
        <w:rPr>
          <w:rFonts w:hint="eastAsia" w:ascii="仿宋" w:hAnsi="仿宋" w:eastAsia="仿宋"/>
          <w:sz w:val="28"/>
          <w:szCs w:val="28"/>
        </w:rPr>
      </w:pPr>
      <w:r>
        <w:rPr>
          <w:rFonts w:hint="eastAsia" w:ascii="仿宋" w:hAnsi="仿宋" w:eastAsia="仿宋"/>
          <w:sz w:val="28"/>
          <w:szCs w:val="28"/>
        </w:rPr>
      </w:r>
      <w:r/>
    </w:p>
    <w:p>
      <w:pPr>
        <w:ind w:firstLine="573"/>
        <w:spacing w:line="480" w:lineRule="exact"/>
        <w:rPr>
          <w:rFonts w:hint="eastAsia" w:ascii="仿宋" w:hAnsi="仿宋" w:eastAsia="仿宋"/>
          <w:sz w:val="28"/>
          <w:szCs w:val="28"/>
        </w:rPr>
      </w:pPr>
      <w:r>
        <w:rPr>
          <w:rFonts w:hint="eastAsia" w:ascii="仿宋" w:hAnsi="仿宋" w:eastAsia="仿宋"/>
          <w:sz w:val="28"/>
          <w:szCs w:val="28"/>
        </w:rPr>
        <w:t xml:space="preserve">甲方（盖章）                        乙方（盖章） </w:t>
      </w:r>
      <w:r/>
    </w:p>
    <w:p>
      <w:pPr>
        <w:ind w:firstLine="573"/>
        <w:spacing w:line="480" w:lineRule="exact"/>
        <w:rPr>
          <w:rFonts w:hint="eastAsia" w:ascii="仿宋" w:hAnsi="仿宋" w:eastAsia="仿宋"/>
          <w:sz w:val="28"/>
          <w:szCs w:val="28"/>
        </w:rPr>
      </w:pPr>
      <w:r>
        <w:rPr>
          <w:rFonts w:hint="eastAsia" w:ascii="仿宋" w:hAnsi="仿宋" w:eastAsia="仿宋"/>
          <w:sz w:val="28"/>
          <w:szCs w:val="28"/>
        </w:rPr>
      </w:r>
      <w:r/>
    </w:p>
    <w:p>
      <w:pPr>
        <w:ind w:firstLine="573"/>
        <w:spacing w:line="480" w:lineRule="exact"/>
        <w:rPr>
          <w:rFonts w:hint="eastAsia" w:ascii="仿宋" w:hAnsi="仿宋" w:eastAsia="仿宋"/>
          <w:sz w:val="28"/>
          <w:szCs w:val="28"/>
        </w:rPr>
      </w:pPr>
      <w:r>
        <w:rPr>
          <w:rFonts w:hint="eastAsia" w:ascii="仿宋" w:hAnsi="仿宋" w:eastAsia="仿宋"/>
          <w:sz w:val="28"/>
          <w:szCs w:val="28"/>
        </w:rPr>
        <w:t xml:space="preserve">授权委托人（签字）：             法定代表人（签字）：</w:t>
      </w:r>
      <w:r/>
    </w:p>
    <w:p>
      <w:pPr>
        <w:ind w:firstLine="573"/>
        <w:spacing w:line="480" w:lineRule="exact"/>
        <w:rPr>
          <w:rFonts w:hint="eastAsia" w:ascii="仿宋" w:hAnsi="仿宋" w:eastAsia="仿宋"/>
          <w:sz w:val="28"/>
          <w:szCs w:val="28"/>
        </w:rPr>
      </w:pPr>
      <w:r>
        <w:rPr>
          <w:rFonts w:hint="eastAsia" w:ascii="仿宋" w:hAnsi="仿宋" w:eastAsia="仿宋"/>
          <w:sz w:val="28"/>
          <w:szCs w:val="28"/>
        </w:rPr>
        <w:t xml:space="preserve">      </w:t>
      </w:r>
      <w:r/>
    </w:p>
    <w:p>
      <w:pPr>
        <w:ind w:firstLine="573"/>
        <w:spacing w:line="480" w:lineRule="exact"/>
        <w:rPr>
          <w:rFonts w:hint="eastAsia" w:ascii="仿宋" w:hAnsi="仿宋" w:eastAsia="仿宋"/>
          <w:sz w:val="28"/>
          <w:szCs w:val="28"/>
        </w:rPr>
      </w:pPr>
      <w:r>
        <w:rPr>
          <w:rFonts w:hint="eastAsia" w:ascii="仿宋" w:hAnsi="仿宋" w:eastAsia="仿宋"/>
          <w:sz w:val="28"/>
          <w:szCs w:val="28"/>
        </w:rPr>
        <w:t xml:space="preserve">  日期：   年  月  日</w:t>
      </w:r>
      <w:r/>
    </w:p>
    <w:p>
      <w:pPr>
        <w:jc w:val="center"/>
        <w:keepLines/>
        <w:keepNext/>
        <w:pageBreakBefore/>
        <w:rPr>
          <w:b/>
          <w:color w:val="auto"/>
          <w:sz w:val="44"/>
          <w:szCs w:val="44"/>
          <w:highlight w:val="none"/>
        </w:rPr>
        <w:outlineLvl w:val="0"/>
      </w:pPr>
      <w:r>
        <w:rPr>
          <w:rFonts w:hint="eastAsia"/>
          <w:b/>
          <w:color w:val="auto"/>
          <w:sz w:val="44"/>
          <w:szCs w:val="44"/>
          <w:highlight w:val="none"/>
        </w:rPr>
        <w:t xml:space="preserve">第六章  投标文件格式</w:t>
      </w:r>
      <w:bookmarkEnd w:id="133"/>
      <w:r/>
      <w:bookmarkEnd w:id="134"/>
      <w:r/>
      <w:bookmarkEnd w:id="135"/>
      <w:r/>
      <w:bookmarkEnd w:id="136"/>
      <w:r/>
      <w:bookmarkEnd w:id="137"/>
      <w:r/>
      <w:bookmarkEnd w:id="138"/>
      <w:r/>
      <w:r/>
    </w:p>
    <w:p>
      <w:pPr>
        <w:rPr>
          <w:color w:val="auto"/>
          <w:highlight w:val="none"/>
        </w:rPr>
      </w:pPr>
      <w:r/>
      <w:bookmarkStart w:id="142" w:name="EB819316f773b24a75aef829f9b72900c0"/>
      <w:r/>
      <w:r/>
    </w:p>
    <w:p>
      <w:pPr>
        <w:rPr>
          <w:rFonts w:ascii="Times New Roman" w:hAnsi="Times New Roman"/>
          <w:b/>
          <w:color w:val="auto"/>
          <w:sz w:val="72"/>
          <w:highlight w:val="none"/>
        </w:rPr>
      </w:pPr>
      <w:r/>
      <w:bookmarkStart w:id="143" w:name="_Toc15716"/>
      <w:r/>
      <w:r/>
    </w:p>
    <w:p>
      <w:pPr>
        <w:rPr>
          <w:rFonts w:ascii="Times New Roman" w:hAnsi="Times New Roman"/>
          <w:b/>
          <w:color w:val="auto"/>
          <w:sz w:val="72"/>
          <w:highlight w:val="none"/>
        </w:rPr>
      </w:pPr>
      <w:r>
        <w:rPr>
          <w:rFonts w:ascii="Times New Roman" w:hAnsi="Times New Roman"/>
          <w:b/>
          <w:color w:val="auto"/>
          <w:sz w:val="72"/>
          <w:highlight w:val="none"/>
        </w:rPr>
      </w:r>
      <w:r/>
    </w:p>
    <w:p>
      <w:pP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72"/>
          <w:highlight w:val="none"/>
        </w:rPr>
      </w:pPr>
      <w:r>
        <w:rPr>
          <w:rFonts w:hint="eastAsia" w:ascii="Times New Roman" w:hAnsi="Times New Roman"/>
          <w:b/>
          <w:color w:val="auto"/>
          <w:sz w:val="72"/>
          <w:highlight w:val="none"/>
        </w:rPr>
        <w:t xml:space="preserve">投  标  文  件</w:t>
      </w:r>
      <w:r/>
    </w:p>
    <w:p>
      <w:pPr>
        <w:jc w:val="cente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36"/>
          <w:highlight w:val="none"/>
        </w:rPr>
      </w:pPr>
      <w:r>
        <w:rPr>
          <w:rFonts w:ascii="Times New Roman" w:hAnsi="Times New Roman"/>
          <w:b/>
          <w:color w:val="auto"/>
          <w:sz w:val="36"/>
          <w:highlight w:val="none"/>
        </w:rPr>
      </w:r>
      <w:r/>
    </w:p>
    <w:p>
      <w:pPr>
        <w:jc w:val="center"/>
        <w:rPr>
          <w:rFonts w:ascii="Times New Roman" w:hAnsi="Times New Roman"/>
          <w:b/>
          <w:color w:val="auto"/>
          <w:sz w:val="36"/>
          <w:highlight w:val="none"/>
        </w:rPr>
      </w:pPr>
      <w:r>
        <w:rPr>
          <w:rFonts w:ascii="Times New Roman" w:hAnsi="Times New Roman"/>
          <w:b/>
          <w:color w:val="auto"/>
          <w:sz w:val="36"/>
          <w:highlight w:val="none"/>
        </w:rPr>
      </w:r>
      <w:r/>
    </w:p>
    <w:p>
      <w:pPr>
        <w:jc w:val="center"/>
        <w:rPr>
          <w:rFonts w:ascii="Times New Roman" w:hAnsi="Times New Roman"/>
          <w:b/>
          <w:color w:val="auto"/>
          <w:sz w:val="36"/>
          <w:highlight w:val="none"/>
        </w:rPr>
      </w:pPr>
      <w:r>
        <w:rPr>
          <w:rFonts w:ascii="Times New Roman" w:hAnsi="Times New Roman"/>
          <w:b/>
          <w:color w:val="auto"/>
          <w:sz w:val="36"/>
          <w:highlight w:val="none"/>
        </w:rPr>
      </w:r>
      <w:r/>
    </w:p>
    <w:p>
      <w:pPr>
        <w:ind w:firstLine="1084"/>
        <w:rPr>
          <w:rFonts w:ascii="Times New Roman" w:hAnsi="Times New Roman"/>
          <w:b/>
          <w:color w:val="auto"/>
          <w:sz w:val="36"/>
          <w:highlight w:val="none"/>
        </w:rPr>
      </w:pPr>
      <w:r>
        <w:rPr>
          <w:rFonts w:hint="eastAsia" w:ascii="Times New Roman" w:hAnsi="Times New Roman"/>
          <w:b/>
          <w:color w:val="auto"/>
          <w:sz w:val="36"/>
          <w:highlight w:val="none"/>
        </w:rPr>
        <w:t xml:space="preserve">项 目 名 称：</w:t>
      </w:r>
      <w:r>
        <w:rPr>
          <w:rFonts w:hint="eastAsia" w:ascii="Times New Roman" w:hAnsi="Times New Roman"/>
          <w:b/>
          <w:color w:val="auto"/>
          <w:sz w:val="36"/>
          <w:highlight w:val="none"/>
          <w:u w:val="single"/>
        </w:rPr>
        <w:t xml:space="preserve">               </w:t>
      </w:r>
      <w:r/>
    </w:p>
    <w:p>
      <w:pPr>
        <w:ind w:firstLine="1084"/>
        <w:rPr>
          <w:rFonts w:ascii="Times New Roman" w:hAnsi="Times New Roman"/>
          <w:b/>
          <w:color w:val="auto"/>
          <w:sz w:val="36"/>
          <w:highlight w:val="none"/>
          <w:u w:val="single"/>
        </w:rPr>
      </w:pPr>
      <w:r>
        <w:rPr>
          <w:rFonts w:hint="eastAsia" w:ascii="Times New Roman" w:hAnsi="Times New Roman"/>
          <w:b/>
          <w:color w:val="auto"/>
          <w:sz w:val="36"/>
          <w:highlight w:val="none"/>
        </w:rPr>
        <w:t xml:space="preserve">项 目 编 号：</w:t>
      </w:r>
      <w:r>
        <w:rPr>
          <w:rFonts w:hint="eastAsia" w:ascii="Times New Roman" w:hAnsi="Times New Roman"/>
          <w:b/>
          <w:color w:val="auto"/>
          <w:sz w:val="36"/>
          <w:highlight w:val="none"/>
          <w:u w:val="single"/>
        </w:rPr>
        <w:t xml:space="preserve">               </w:t>
      </w:r>
      <w:r/>
    </w:p>
    <w:p>
      <w:pPr>
        <w:rPr>
          <w:rFonts w:ascii="Times New Roman" w:hAnsi="Times New Roman"/>
          <w:b/>
          <w:color w:val="auto"/>
          <w:sz w:val="36"/>
          <w:highlight w:val="none"/>
          <w:u w:val="single"/>
        </w:rPr>
      </w:pPr>
      <w:r>
        <w:rPr>
          <w:rFonts w:hint="eastAsia" w:ascii="Times New Roman" w:hAnsi="Times New Roman"/>
          <w:b/>
          <w:color w:val="auto"/>
          <w:sz w:val="36"/>
          <w:highlight w:val="none"/>
        </w:rPr>
        <w:t xml:space="preserve">      投标人名称 ：</w:t>
      </w:r>
      <w:r>
        <w:rPr>
          <w:rFonts w:hint="eastAsia" w:ascii="Times New Roman" w:hAnsi="Times New Roman"/>
          <w:b/>
          <w:color w:val="auto"/>
          <w:sz w:val="36"/>
          <w:highlight w:val="none"/>
          <w:u w:val="single"/>
        </w:rPr>
        <w:t xml:space="preserve">（盖CA电子公章）</w:t>
      </w:r>
      <w:r/>
    </w:p>
    <w:p>
      <w:pPr>
        <w:rPr>
          <w:rFonts w:ascii="Times New Roman" w:hAnsi="Times New Roman"/>
          <w:b/>
          <w:color w:val="auto"/>
          <w:sz w:val="36"/>
          <w:highlight w:val="none"/>
          <w:u w:val="single"/>
        </w:rPr>
      </w:pPr>
      <w:r>
        <w:rPr>
          <w:rFonts w:hint="eastAsia" w:ascii="Times New Roman" w:hAnsi="Times New Roman"/>
          <w:b/>
          <w:color w:val="auto"/>
          <w:sz w:val="36"/>
          <w:highlight w:val="none"/>
        </w:rPr>
        <w:t xml:space="preserve">      日      期 ：</w:t>
      </w:r>
      <w:r>
        <w:rPr>
          <w:rFonts w:hint="eastAsia" w:ascii="Times New Roman" w:hAnsi="Times New Roman"/>
          <w:b/>
          <w:color w:val="auto"/>
          <w:sz w:val="36"/>
          <w:highlight w:val="none"/>
          <w:u w:val="single"/>
        </w:rPr>
        <w:t xml:space="preserve">               </w:t>
      </w:r>
      <w:bookmarkEnd w:id="143"/>
      <w:r/>
      <w:r/>
    </w:p>
    <w:p>
      <w:pPr>
        <w:pStyle w:val="998"/>
        <w:rPr>
          <w:rFonts w:ascii="宋体" w:hAnsi="宋体" w:eastAsia="宋体" w:cs="宋体"/>
          <w:color w:val="auto"/>
          <w:highlight w:val="none"/>
        </w:rPr>
      </w:pPr>
      <w:r>
        <w:rPr>
          <w:rFonts w:ascii="宋体" w:hAnsi="宋体" w:eastAsia="宋体" w:cs="宋体"/>
          <w:color w:val="auto"/>
          <w:highlight w:val="none"/>
        </w:rPr>
      </w:r>
      <w:r/>
    </w:p>
    <w:p>
      <w:pPr>
        <w:pStyle w:val="998"/>
        <w:rPr>
          <w:rFonts w:ascii="宋体" w:hAnsi="宋体" w:eastAsia="宋体" w:cs="宋体"/>
          <w:color w:val="auto"/>
          <w:highlight w:val="none"/>
        </w:rPr>
      </w:pPr>
      <w:r>
        <w:rPr>
          <w:rFonts w:ascii="宋体" w:hAnsi="宋体" w:eastAsia="宋体" w:cs="宋体"/>
          <w:color w:val="auto"/>
          <w:highlight w:val="none"/>
        </w:rPr>
      </w:r>
      <w:r/>
    </w:p>
    <w:p>
      <w:pPr>
        <w:pStyle w:val="998"/>
        <w:rPr>
          <w:rFonts w:ascii="宋体" w:hAnsi="宋体" w:eastAsia="宋体" w:cs="宋体"/>
          <w:color w:val="auto"/>
          <w:highlight w:val="none"/>
        </w:rPr>
      </w:pPr>
      <w:r>
        <w:rPr>
          <w:rFonts w:ascii="宋体" w:hAnsi="宋体" w:eastAsia="宋体" w:cs="宋体"/>
          <w:color w:val="auto"/>
          <w:highlight w:val="none"/>
        </w:rPr>
      </w:r>
      <w:r/>
    </w:p>
    <w:p>
      <w:pPr>
        <w:pStyle w:val="998"/>
        <w:rPr>
          <w:rFonts w:ascii="宋体" w:hAnsi="宋体" w:eastAsia="宋体" w:cs="宋体"/>
          <w:color w:val="auto"/>
          <w:highlight w:val="none"/>
        </w:rPr>
      </w:pPr>
      <w:r>
        <w:rPr>
          <w:rFonts w:ascii="宋体" w:hAnsi="宋体" w:eastAsia="宋体" w:cs="宋体"/>
          <w:color w:val="auto"/>
          <w:highlight w:val="none"/>
        </w:rPr>
      </w:r>
      <w:bookmarkEnd w:id="142"/>
      <w:r/>
    </w:p>
    <w:p>
      <w:pPr>
        <w:pStyle w:val="998"/>
        <w:rPr>
          <w:rFonts w:ascii="宋体" w:hAnsi="宋体" w:eastAsia="宋体" w:cs="宋体"/>
          <w:color w:val="auto"/>
          <w:highlight w:val="none"/>
        </w:rPr>
      </w:pPr>
      <w:r>
        <w:rPr>
          <w:rFonts w:ascii="宋体" w:hAnsi="宋体" w:eastAsia="宋体" w:cs="宋体"/>
          <w:color w:val="auto"/>
          <w:highlight w:val="none"/>
        </w:rPr>
      </w:r>
      <w:r/>
    </w:p>
    <w:p>
      <w:pPr>
        <w:pStyle w:val="998"/>
        <w:rPr>
          <w:rFonts w:ascii="宋体" w:hAnsi="宋体" w:eastAsia="宋体" w:cs="宋体"/>
          <w:color w:val="auto"/>
          <w:highlight w:val="none"/>
        </w:rPr>
      </w:pPr>
      <w:r>
        <w:rPr>
          <w:rFonts w:ascii="宋体" w:hAnsi="宋体" w:eastAsia="宋体" w:cs="宋体"/>
          <w:color w:val="auto"/>
          <w:highlight w:val="none"/>
        </w:rPr>
      </w:r>
      <w:r/>
    </w:p>
    <w:p>
      <w:pPr>
        <w:pStyle w:val="998"/>
        <w:rPr>
          <w:rFonts w:ascii="宋体" w:hAnsi="宋体" w:eastAsia="宋体" w:cs="宋体"/>
          <w:color w:val="auto"/>
          <w:highlight w:val="none"/>
        </w:rPr>
      </w:pPr>
      <w:r>
        <w:rPr>
          <w:rFonts w:ascii="宋体" w:hAnsi="宋体" w:eastAsia="宋体" w:cs="宋体"/>
          <w:color w:val="auto"/>
          <w:highlight w:val="none"/>
        </w:rPr>
      </w:r>
      <w:r/>
    </w:p>
    <w:p>
      <w:pPr>
        <w:pStyle w:val="998"/>
        <w:jc w:val="center"/>
        <w:spacing w:line="360" w:lineRule="auto"/>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pStyle w:val="998"/>
        <w:jc w:val="center"/>
        <w:spacing w:line="360" w:lineRule="auto"/>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投标文件目录</w:t>
      </w:r>
      <w:r/>
    </w:p>
    <w:p>
      <w:pPr>
        <w:pStyle w:val="998"/>
        <w:spacing w:line="360" w:lineRule="auto"/>
        <w:rPr>
          <w:rFonts w:ascii="宋体" w:hAnsi="宋体" w:eastAsia="宋体" w:cs="宋体"/>
          <w:color w:val="auto"/>
          <w:sz w:val="28"/>
          <w:szCs w:val="28"/>
          <w:highlight w:val="none"/>
        </w:rPr>
      </w:pPr>
      <w:r>
        <w:rPr>
          <w:rFonts w:ascii="宋体" w:hAnsi="宋体" w:eastAsia="宋体" w:cs="宋体"/>
          <w:color w:val="auto"/>
          <w:sz w:val="28"/>
          <w:szCs w:val="28"/>
          <w:highlight w:val="none"/>
        </w:rPr>
      </w:r>
      <w:r/>
    </w:p>
    <w:p>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t xml:space="preserve">一、投标函</w:t>
      </w:r>
      <w:r/>
    </w:p>
    <w:p>
      <w:pPr>
        <w:spacing w:line="360" w:lineRule="auto"/>
        <w:rPr>
          <w:rFonts w:hint="eastAsia" w:ascii="Times New Roman" w:hAnsi="Times New Roman" w:eastAsia="宋体"/>
          <w:color w:val="auto"/>
          <w:sz w:val="28"/>
          <w:szCs w:val="28"/>
          <w:highlight w:val="none"/>
          <w:lang w:eastAsia="zh-CN"/>
        </w:rPr>
      </w:pPr>
      <w:r>
        <w:rPr>
          <w:rFonts w:hint="eastAsia" w:ascii="Times New Roman" w:hAnsi="Times New Roman"/>
          <w:color w:val="auto"/>
          <w:sz w:val="28"/>
          <w:szCs w:val="28"/>
          <w:highlight w:val="none"/>
          <w:lang w:eastAsia="zh-CN"/>
        </w:rPr>
        <w:t xml:space="preserve">二、投标人资质</w:t>
      </w:r>
      <w:r/>
    </w:p>
    <w:p>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lang w:eastAsia="zh-CN"/>
        </w:rPr>
        <w:t xml:space="preserve">三</w:t>
      </w:r>
      <w:r>
        <w:rPr>
          <w:rFonts w:hint="eastAsia" w:ascii="Times New Roman" w:hAnsi="Times New Roman"/>
          <w:color w:val="auto"/>
          <w:sz w:val="28"/>
          <w:szCs w:val="28"/>
          <w:highlight w:val="none"/>
        </w:rPr>
        <w:t xml:space="preserve">、法人授权书</w:t>
      </w:r>
      <w:r/>
    </w:p>
    <w:p>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lang w:eastAsia="zh-CN"/>
        </w:rPr>
        <w:t xml:space="preserve">四</w:t>
      </w:r>
      <w:r>
        <w:rPr>
          <w:rFonts w:hint="eastAsia" w:ascii="Times New Roman" w:hAnsi="Times New Roman"/>
          <w:color w:val="auto"/>
          <w:sz w:val="28"/>
          <w:szCs w:val="28"/>
          <w:highlight w:val="none"/>
        </w:rPr>
        <w:t xml:space="preserve">、开标一览表</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lang w:eastAsia="zh-CN"/>
        </w:rPr>
        <w:t xml:space="preserve">五</w:t>
      </w:r>
      <w:r>
        <w:rPr>
          <w:rFonts w:hint="eastAsia" w:ascii="Times New Roman" w:hAnsi="Times New Roman"/>
          <w:color w:val="auto"/>
          <w:sz w:val="28"/>
          <w:szCs w:val="28"/>
          <w:highlight w:val="none"/>
        </w:rPr>
        <w:t xml:space="preserve">、分项报价表</w:t>
      </w:r>
      <w:r/>
    </w:p>
    <w:p>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lang w:eastAsia="zh-CN"/>
        </w:rPr>
        <w:t xml:space="preserve">六</w:t>
      </w:r>
      <w:r>
        <w:rPr>
          <w:rFonts w:hint="eastAsia" w:ascii="Times New Roman" w:hAnsi="Times New Roman"/>
          <w:color w:val="auto"/>
          <w:sz w:val="28"/>
          <w:szCs w:val="28"/>
          <w:highlight w:val="none"/>
        </w:rPr>
        <w:t xml:space="preserve">、中小企业或残疾人福利性单位声明函</w:t>
      </w:r>
      <w:r/>
    </w:p>
    <w:p>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t xml:space="preserve">七、项目组人员</w:t>
      </w:r>
      <w:r/>
    </w:p>
    <w:p>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lang w:val="en-US" w:eastAsia="zh-CN"/>
        </w:rPr>
        <w:t xml:space="preserve">八</w:t>
      </w:r>
      <w:r>
        <w:rPr>
          <w:rFonts w:hint="eastAsia" w:ascii="Times New Roman" w:hAnsi="Times New Roman"/>
          <w:color w:val="auto"/>
          <w:sz w:val="28"/>
          <w:szCs w:val="28"/>
          <w:highlight w:val="none"/>
        </w:rPr>
        <w:t xml:space="preserve">、技术响应偏离表</w:t>
      </w:r>
      <w:r/>
    </w:p>
    <w:p>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lang w:val="en-US" w:eastAsia="zh-CN"/>
        </w:rPr>
        <w:t xml:space="preserve">九</w:t>
      </w:r>
      <w:r>
        <w:rPr>
          <w:rFonts w:hint="eastAsia" w:ascii="Times New Roman" w:hAnsi="Times New Roman"/>
          <w:color w:val="auto"/>
          <w:sz w:val="28"/>
          <w:szCs w:val="28"/>
          <w:highlight w:val="none"/>
        </w:rPr>
        <w:t xml:space="preserve">、企业业绩</w:t>
      </w:r>
      <w:r/>
    </w:p>
    <w:p>
      <w:pPr>
        <w:spacing w:line="360" w:lineRule="auto"/>
        <w:rPr>
          <w:rFonts w:hint="eastAsia" w:ascii="Times New Roman" w:hAnsi="Times New Roman"/>
          <w:color w:val="auto"/>
          <w:sz w:val="28"/>
          <w:szCs w:val="28"/>
          <w:highlight w:val="none"/>
          <w:lang w:val="en-US" w:eastAsia="zh-CN"/>
        </w:rPr>
      </w:pPr>
      <w:r>
        <w:rPr>
          <w:rFonts w:hint="eastAsia" w:ascii="Times New Roman" w:hAnsi="Times New Roman"/>
          <w:color w:val="auto"/>
          <w:sz w:val="28"/>
          <w:szCs w:val="28"/>
          <w:highlight w:val="none"/>
          <w:lang w:val="en-US" w:eastAsia="zh-CN"/>
        </w:rPr>
        <w:t xml:space="preserve">十、实施方案</w:t>
      </w:r>
      <w:r/>
    </w:p>
    <w:p>
      <w:pPr>
        <w:spacing w:line="360" w:lineRule="auto"/>
        <w:rPr>
          <w:rFonts w:hint="eastAsia" w:ascii="Times New Roman" w:hAnsi="Times New Roman"/>
          <w:color w:val="auto"/>
          <w:sz w:val="28"/>
          <w:szCs w:val="28"/>
          <w:highlight w:val="none"/>
          <w:lang w:val="en-US" w:eastAsia="zh-CN"/>
        </w:rPr>
      </w:pPr>
      <w:r>
        <w:rPr>
          <w:rFonts w:hint="eastAsia" w:ascii="Times New Roman" w:hAnsi="Times New Roman"/>
          <w:color w:val="auto"/>
          <w:sz w:val="28"/>
          <w:szCs w:val="28"/>
          <w:highlight w:val="none"/>
          <w:lang w:val="en-US" w:eastAsia="zh-CN"/>
        </w:rPr>
        <w:t xml:space="preserve">十一</w:t>
      </w:r>
      <w:r>
        <w:rPr>
          <w:rFonts w:hint="eastAsia" w:ascii="Times New Roman" w:hAnsi="Times New Roman"/>
          <w:color w:val="auto"/>
          <w:sz w:val="28"/>
          <w:szCs w:val="28"/>
          <w:highlight w:val="none"/>
        </w:rPr>
        <w:t xml:space="preserve">、投标所需其他材料</w:t>
      </w:r>
      <w:r/>
    </w:p>
    <w:p>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r>
      <w:r/>
    </w:p>
    <w:p>
      <w:pPr>
        <w:rPr>
          <w:color w:val="auto"/>
          <w:highlight w:val="none"/>
        </w:rPr>
      </w:pPr>
      <w:r/>
      <w:bookmarkStart w:id="144" w:name="_Toc26005"/>
      <w:r/>
      <w:bookmarkStart w:id="145" w:name="_Toc20577"/>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1008"/>
        <w:rPr>
          <w:b w:val="0"/>
          <w:bCs/>
          <w:color w:val="auto"/>
          <w:highlight w:val="none"/>
        </w:rPr>
        <w:outlineLvl w:val="1"/>
      </w:pPr>
      <w:r/>
      <w:bookmarkStart w:id="146" w:name="_Toc8978"/>
      <w:r>
        <w:rPr>
          <w:rFonts w:hint="eastAsia"/>
          <w:b w:val="0"/>
          <w:bCs/>
          <w:color w:val="auto"/>
          <w:highlight w:val="none"/>
        </w:rPr>
        <w:br w:type="page" w:clear="all"/>
      </w:r>
      <w:r>
        <w:rPr>
          <w:rFonts w:hint="eastAsia"/>
          <w:b w:val="0"/>
          <w:bCs/>
          <w:color w:val="auto"/>
          <w:highlight w:val="none"/>
        </w:rPr>
        <w:t xml:space="preserve">一</w:t>
      </w:r>
      <w:r>
        <w:rPr>
          <w:b w:val="0"/>
          <w:bCs/>
          <w:color w:val="auto"/>
          <w:highlight w:val="none"/>
        </w:rPr>
        <w:t xml:space="preserve">、投标函</w:t>
      </w:r>
      <w:bookmarkEnd w:id="144"/>
      <w:r/>
      <w:bookmarkEnd w:id="145"/>
      <w:r/>
      <w:bookmarkEnd w:id="146"/>
      <w:r/>
      <w:r/>
    </w:p>
    <w:p>
      <w:pPr>
        <w:pStyle w:val="1009"/>
        <w:jc w:val="center"/>
        <w:rPr>
          <w:rFonts w:ascii="方正小标宋_GBK" w:eastAsia="方正小标宋_GBK"/>
          <w:bCs/>
          <w:color w:val="auto"/>
          <w:sz w:val="32"/>
          <w:szCs w:val="32"/>
          <w:highlight w:val="none"/>
        </w:rPr>
      </w:pPr>
      <w:r>
        <w:rPr>
          <w:rFonts w:ascii="方正小标宋_GBK" w:eastAsia="方正小标宋_GBK"/>
          <w:bCs/>
          <w:color w:val="auto"/>
          <w:sz w:val="32"/>
          <w:szCs w:val="32"/>
          <w:highlight w:val="none"/>
        </w:rPr>
      </w:r>
      <w:r/>
    </w:p>
    <w:p>
      <w:pPr>
        <w:pStyle w:val="1009"/>
        <w:jc w:val="center"/>
        <w:rPr>
          <w:rFonts w:hint="eastAsia"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投标函</w:t>
      </w:r>
      <w:r/>
    </w:p>
    <w:p>
      <w:pPr>
        <w:pStyle w:val="1009"/>
        <w:jc w:val="left"/>
        <w:spacing w:line="50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（采购单位名称）：</w:t>
      </w:r>
      <w:r/>
    </w:p>
    <w:p>
      <w:pPr>
        <w:pStyle w:val="1009"/>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根据已收到的项目编号为</w:t>
      </w:r>
      <w:r>
        <w:rPr>
          <w:rFonts w:hint="eastAsia" w:ascii="宋体" w:hAnsi="宋体"/>
          <w:color w:val="auto"/>
          <w:sz w:val="24"/>
          <w:szCs w:val="24"/>
          <w:highlight w:val="none"/>
          <w:u w:val="single"/>
        </w:rPr>
        <w:t xml:space="preserve">（项目编号）</w:t>
      </w:r>
      <w:r>
        <w:rPr>
          <w:rFonts w:hint="eastAsia" w:ascii="宋体" w:hAnsi="宋体"/>
          <w:color w:val="auto"/>
          <w:sz w:val="24"/>
          <w:szCs w:val="24"/>
          <w:highlight w:val="none"/>
        </w:rPr>
        <w:t xml:space="preserve">的</w:t>
      </w:r>
      <w:r>
        <w:rPr>
          <w:rFonts w:hint="eastAsia" w:ascii="宋体" w:hAnsi="宋体"/>
          <w:color w:val="auto"/>
          <w:sz w:val="24"/>
          <w:szCs w:val="24"/>
          <w:highlight w:val="none"/>
          <w:u w:val="single"/>
        </w:rPr>
        <w:t xml:space="preserve">（项目名称）</w:t>
      </w:r>
      <w:r>
        <w:rPr>
          <w:rFonts w:hint="eastAsia" w:ascii="宋体" w:hAnsi="宋体"/>
          <w:color w:val="auto"/>
          <w:sz w:val="24"/>
          <w:szCs w:val="24"/>
          <w:highlight w:val="none"/>
        </w:rPr>
        <w:t xml:space="preserve">的招标文件，我方在参加本项目招投标活动中，特作出如下承诺：</w:t>
      </w:r>
      <w:r/>
    </w:p>
    <w:p>
      <w:pPr>
        <w:pStyle w:val="1009"/>
        <w:ind w:firstLine="480"/>
        <w:jc w:val="left"/>
        <w:spacing w:line="500" w:lineRule="exact"/>
        <w:rPr>
          <w:rFonts w:ascii="宋体" w:hAnsi="宋体"/>
          <w:color w:val="auto"/>
          <w:sz w:val="24"/>
          <w:highlight w:val="none"/>
        </w:rPr>
      </w:pPr>
      <w:r>
        <w:rPr>
          <w:rFonts w:hint="eastAsia" w:ascii="宋体" w:hAnsi="宋体"/>
          <w:color w:val="auto"/>
          <w:sz w:val="24"/>
          <w:szCs w:val="24"/>
          <w:highlight w:val="none"/>
        </w:rPr>
        <w:t xml:space="preserve">一、我方</w:t>
      </w:r>
      <w:r>
        <w:rPr>
          <w:rFonts w:ascii="宋体" w:hAnsi="宋体"/>
          <w:color w:val="auto"/>
          <w:sz w:val="24"/>
          <w:highlight w:val="none"/>
        </w:rPr>
        <w:t xml:space="preserve">具备《中华人民共和国政府采购法》第二十二条第一款规定的6项条件；</w:t>
      </w:r>
      <w:r/>
    </w:p>
    <w:p>
      <w:pPr>
        <w:pStyle w:val="1009"/>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09"/>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三、我方按招标文件要求提交投标文件，响应招标文件规定的投标有效期；</w:t>
      </w:r>
      <w:r/>
    </w:p>
    <w:p>
      <w:pPr>
        <w:pStyle w:val="1009"/>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四、如果我方的投标文件被接受，我方将</w:t>
      </w:r>
      <w:r>
        <w:rPr>
          <w:rFonts w:hint="eastAsia" w:ascii="宋体" w:hAnsi="宋体"/>
          <w:color w:val="auto"/>
          <w:sz w:val="24"/>
          <w:szCs w:val="24"/>
          <w:highlight w:val="none"/>
          <w:lang w:eastAsia="zh-CN"/>
        </w:rPr>
        <w:t xml:space="preserve">按照</w:t>
      </w:r>
      <w:r>
        <w:rPr>
          <w:rFonts w:hint="eastAsia" w:ascii="宋体" w:hAnsi="宋体"/>
          <w:color w:val="auto"/>
          <w:sz w:val="24"/>
          <w:szCs w:val="24"/>
          <w:highlight w:val="none"/>
        </w:rPr>
        <w:t xml:space="preserve">《中华人民共和国民法典（第三编合同）》及其他有关法律、法规的规定，按期、按质、按量交付采购单位，全面做到履约守信；</w:t>
      </w:r>
      <w:r/>
    </w:p>
    <w:p>
      <w:pPr>
        <w:pStyle w:val="1009"/>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五、我方若违背本声明及承诺约定，经查实，自愿接受采购人及相关主管部门相应的规定处理，并依法承担相应的法律责任。</w:t>
      </w:r>
      <w:r/>
    </w:p>
    <w:p>
      <w:pPr>
        <w:pStyle w:val="1009"/>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六、我方同意采购人、采购代理机构将本</w:t>
      </w:r>
      <w:r>
        <w:rPr>
          <w:rFonts w:hint="eastAsia" w:ascii="宋体" w:hAnsi="宋体"/>
          <w:color w:val="auto"/>
          <w:sz w:val="24"/>
          <w:szCs w:val="24"/>
          <w:highlight w:val="none"/>
          <w:lang w:val="en-US" w:eastAsia="zh-CN"/>
        </w:rPr>
        <w:t xml:space="preserve">函</w:t>
      </w:r>
      <w:r>
        <w:rPr>
          <w:rFonts w:hint="eastAsia" w:ascii="宋体" w:hAnsi="宋体"/>
          <w:color w:val="auto"/>
          <w:sz w:val="24"/>
          <w:szCs w:val="24"/>
          <w:highlight w:val="none"/>
        </w:rPr>
        <w:t xml:space="preserve">上网公开。</w:t>
      </w:r>
      <w:r/>
    </w:p>
    <w:p>
      <w:pPr>
        <w:pStyle w:val="1009"/>
        <w:ind w:firstLine="480"/>
        <w:jc w:val="left"/>
        <w:spacing w:line="500" w:lineRule="exact"/>
        <w:rPr>
          <w:rFonts w:ascii="方正仿宋_GBK" w:eastAsia="方正仿宋_GBK"/>
          <w:color w:val="auto"/>
          <w:sz w:val="24"/>
          <w:szCs w:val="24"/>
          <w:highlight w:val="none"/>
        </w:rPr>
      </w:pPr>
      <w:r>
        <w:rPr>
          <w:rFonts w:ascii="方正仿宋_GBK" w:eastAsia="方正仿宋_GBK"/>
          <w:color w:val="auto"/>
          <w:sz w:val="24"/>
          <w:szCs w:val="24"/>
          <w:highlight w:val="none"/>
        </w:rPr>
      </w:r>
      <w:r/>
    </w:p>
    <w:p>
      <w:pPr>
        <w:pStyle w:val="1009"/>
        <w:jc w:val="left"/>
        <w:spacing w:line="500" w:lineRule="exact"/>
        <w:rPr>
          <w:rFonts w:ascii="宋体" w:hAnsi="宋体"/>
          <w:color w:val="auto"/>
          <w:sz w:val="24"/>
          <w:szCs w:val="24"/>
          <w:highlight w:val="none"/>
        </w:rPr>
      </w:pPr>
      <w:r>
        <w:rPr>
          <w:rFonts w:ascii="宋体" w:hAnsi="宋体"/>
          <w:color w:val="auto"/>
          <w:sz w:val="24"/>
          <w:szCs w:val="24"/>
          <w:highlight w:val="none"/>
        </w:rPr>
      </w:r>
      <w:r/>
    </w:p>
    <w:p>
      <w:pPr>
        <w:pStyle w:val="1009"/>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投标人名称：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（盖CA电子公章）</w:t>
      </w:r>
      <w:r/>
    </w:p>
    <w:p>
      <w:pPr>
        <w:pStyle w:val="1009"/>
        <w:ind w:firstLine="480"/>
        <w:rPr>
          <w:rFonts w:ascii="宋体" w:hAnsi="宋体"/>
          <w:color w:val="auto"/>
          <w:sz w:val="24"/>
          <w:szCs w:val="24"/>
          <w:highlight w:val="none"/>
        </w:rPr>
      </w:pPr>
      <w:r>
        <w:rPr>
          <w:rFonts w:ascii="宋体" w:hAnsi="宋体"/>
          <w:color w:val="auto"/>
          <w:sz w:val="24"/>
          <w:szCs w:val="24"/>
          <w:highlight w:val="none"/>
        </w:rPr>
      </w:r>
      <w:r/>
    </w:p>
    <w:p>
      <w:pPr>
        <w:pStyle w:val="1009"/>
        <w:ind w:firstLine="480"/>
        <w:rPr>
          <w:rFonts w:ascii="宋体" w:hAnsi="宋体"/>
          <w:color w:val="auto"/>
          <w:highlight w:val="none"/>
        </w:rPr>
      </w:pPr>
      <w:r>
        <w:rPr>
          <w:rFonts w:hint="eastAsia" w:ascii="宋体" w:hAnsi="宋体"/>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1008"/>
        <w:rPr>
          <w:rFonts w:hint="eastAsia"/>
          <w:b w:val="0"/>
          <w:bCs/>
          <w:color w:val="auto"/>
          <w:highlight w:val="none"/>
        </w:rPr>
        <w:outlineLvl w:val="1"/>
      </w:pPr>
      <w:r/>
      <w:bookmarkStart w:id="147" w:name="_Toc15099"/>
      <w:r>
        <w:rPr>
          <w:rFonts w:hint="eastAsia"/>
          <w:b w:val="0"/>
          <w:bCs/>
          <w:color w:val="auto"/>
          <w:highlight w:val="none"/>
        </w:rPr>
        <w:t xml:space="preserve">二、投标人资质</w:t>
      </w:r>
      <w:bookmarkEnd w:id="147"/>
      <w:r/>
      <w:r/>
    </w:p>
    <w:p>
      <w:pPr>
        <w:rPr>
          <w:rFonts w:hint="eastAsia"/>
          <w:color w:val="auto"/>
          <w:highlight w:val="none"/>
        </w:rPr>
      </w:pPr>
      <w:r>
        <w:rPr>
          <w:rFonts w:hint="eastAsia"/>
          <w:color w:val="auto"/>
          <w:highlight w:val="none"/>
        </w:rPr>
        <w:t xml:space="preserve">按招标文件要求提供相应资质证书</w:t>
      </w:r>
      <w:r/>
    </w:p>
    <w:p>
      <w:pPr>
        <w:rPr>
          <w:color w:val="auto"/>
          <w:highlight w:val="none"/>
        </w:rPr>
        <w:outlineLvl w:val="1"/>
      </w:pPr>
      <w:r>
        <w:rPr>
          <w:rFonts w:hint="eastAsia"/>
          <w:color w:val="auto"/>
          <w:highlight w:val="none"/>
        </w:rPr>
        <w:br w:type="page" w:clear="all"/>
      </w:r>
      <w:bookmarkStart w:id="148" w:name="_Toc29506"/>
      <w:r/>
      <w:bookmarkStart w:id="149" w:name="_Toc3680"/>
      <w:r/>
      <w:bookmarkStart w:id="150" w:name="_Toc27409"/>
      <w:r>
        <w:rPr>
          <w:rFonts w:hint="eastAsia" w:ascii="黑体" w:hAnsi="黑体" w:eastAsia="黑体" w:cs="黑体"/>
          <w:bCs/>
          <w:color w:val="auto"/>
          <w:sz w:val="32"/>
          <w:szCs w:val="24"/>
          <w:highlight w:val="none"/>
        </w:rPr>
        <w:t xml:space="preserve">三、</w:t>
      </w:r>
      <w:bookmarkEnd w:id="148"/>
      <w:r/>
      <w:bookmarkEnd w:id="149"/>
      <w:r>
        <w:rPr>
          <w:rFonts w:hint="eastAsia" w:ascii="黑体" w:hAnsi="黑体" w:eastAsia="黑体" w:cs="黑体"/>
          <w:bCs/>
          <w:color w:val="auto"/>
          <w:sz w:val="32"/>
          <w:szCs w:val="24"/>
          <w:highlight w:val="none"/>
        </w:rPr>
        <w:t xml:space="preserve">法人授权书</w:t>
      </w:r>
      <w:bookmarkEnd w:id="150"/>
      <w:r/>
      <w:r/>
    </w:p>
    <w:p>
      <w:pPr>
        <w:pStyle w:val="1009"/>
        <w:jc w:val="center"/>
        <w:rPr>
          <w:rFonts w:ascii="方正小标宋_GBK" w:eastAsia="方正小标宋_GBK"/>
          <w:bCs/>
          <w:color w:val="auto"/>
          <w:sz w:val="32"/>
          <w:szCs w:val="32"/>
          <w:highlight w:val="none"/>
        </w:rPr>
      </w:pPr>
      <w:r/>
      <w:bookmarkStart w:id="151" w:name="OLE_LINK6"/>
      <w:r>
        <w:rPr>
          <w:rFonts w:hint="eastAsia" w:ascii="方正小标宋_GBK" w:eastAsia="方正小标宋_GBK"/>
          <w:bCs/>
          <w:color w:val="auto"/>
          <w:sz w:val="32"/>
          <w:szCs w:val="32"/>
          <w:highlight w:val="none"/>
        </w:rPr>
        <w:t xml:space="preserve">法人授权书</w:t>
      </w:r>
      <w:bookmarkEnd w:id="151"/>
      <w:r/>
      <w:r/>
    </w:p>
    <w:p>
      <w:pPr>
        <w:pStyle w:val="1129"/>
        <w:ind w:firstLine="482"/>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本授权书声明：____________（投标人名称）授权________________（被授权人的姓名）为我方就</w:t>
      </w:r>
      <w:r>
        <w:rPr>
          <w:rFonts w:hint="eastAsia" w:ascii="宋体" w:hAnsi="宋体"/>
          <w:color w:val="auto"/>
          <w:sz w:val="24"/>
          <w:szCs w:val="24"/>
          <w:highlight w:val="none"/>
          <w:u w:val="single"/>
        </w:rPr>
        <w:t xml:space="preserve">（项目编号）</w:t>
      </w:r>
      <w:r>
        <w:rPr>
          <w:rFonts w:hint="eastAsia" w:ascii="宋体" w:hAnsi="宋体"/>
          <w:color w:val="auto"/>
          <w:sz w:val="24"/>
          <w:szCs w:val="24"/>
          <w:highlight w:val="none"/>
        </w:rPr>
        <w:t xml:space="preserve">号</w:t>
      </w:r>
      <w:r>
        <w:rPr>
          <w:rFonts w:hint="eastAsia" w:ascii="宋体" w:hAnsi="宋体"/>
          <w:color w:val="auto"/>
          <w:sz w:val="24"/>
          <w:szCs w:val="24"/>
          <w:highlight w:val="none"/>
          <w:u w:val="single"/>
        </w:rPr>
        <w:t xml:space="preserve">          （项目名称）           项目</w:t>
      </w:r>
      <w:r>
        <w:rPr>
          <w:rFonts w:hint="eastAsia" w:ascii="宋体" w:hAnsi="宋体"/>
          <w:color w:val="auto"/>
          <w:sz w:val="24"/>
          <w:szCs w:val="24"/>
          <w:highlight w:val="none"/>
        </w:rPr>
        <w:t xml:space="preserve">采购活动的合法代理人，以本单位名义全权处理一切与该项目采购有关的事务。</w:t>
      </w:r>
      <w:r/>
    </w:p>
    <w:p>
      <w:pPr>
        <w:pStyle w:val="1129"/>
        <w:ind w:firstLine="482"/>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本授权书于______年____月____日起生效，特此声明。</w:t>
      </w:r>
      <w:r/>
    </w:p>
    <w:p>
      <w:pPr>
        <w:pStyle w:val="1129"/>
        <w:ind w:firstLine="482"/>
        <w:spacing w:line="480" w:lineRule="exact"/>
        <w:rPr>
          <w:color w:val="auto"/>
          <w:sz w:val="24"/>
          <w:szCs w:val="24"/>
          <w:highlight w:val="none"/>
          <w:u w:val="single"/>
        </w:rPr>
      </w:pPr>
      <w:r>
        <w:rPr>
          <w:rFonts w:hint="eastAsia"/>
          <w:color w:val="auto"/>
          <w:sz w:val="24"/>
          <w:szCs w:val="24"/>
          <w:highlight w:val="none"/>
        </w:rPr>
        <w:t xml:space="preserve">被授权人身份证号码：</w:t>
      </w:r>
      <w:r>
        <w:rPr>
          <w:rFonts w:hint="eastAsia"/>
          <w:color w:val="auto"/>
          <w:sz w:val="24"/>
          <w:szCs w:val="24"/>
          <w:highlight w:val="none"/>
          <w:u w:val="single"/>
        </w:rPr>
        <w:t xml:space="preserve">                             </w:t>
      </w:r>
      <w:r/>
    </w:p>
    <w:p>
      <w:pPr>
        <w:pStyle w:val="1129"/>
        <w:ind w:firstLine="482"/>
        <w:spacing w:line="480" w:lineRule="exact"/>
        <w:rPr>
          <w:rFonts w:ascii="宋体" w:hAnsi="宋体"/>
          <w:color w:val="auto"/>
          <w:sz w:val="24"/>
          <w:szCs w:val="24"/>
          <w:highlight w:val="none"/>
        </w:rPr>
      </w:pPr>
      <w:r>
        <w:rPr>
          <w:rFonts w:hint="eastAsia"/>
          <w:color w:val="auto"/>
          <w:sz w:val="24"/>
          <w:szCs w:val="24"/>
          <w:highlight w:val="none"/>
        </w:rPr>
        <w:t xml:space="preserve">被授权人联系电话：（手机）</w:t>
      </w:r>
      <w:r>
        <w:rPr>
          <w:rFonts w:hint="eastAsia"/>
          <w:color w:val="auto"/>
          <w:sz w:val="24"/>
          <w:szCs w:val="24"/>
          <w:highlight w:val="none"/>
          <w:u w:val="single"/>
        </w:rPr>
        <w:t xml:space="preserve">                          </w:t>
      </w:r>
      <w:r/>
    </w:p>
    <w:p>
      <w:pPr>
        <w:pStyle w:val="1129"/>
        <w:ind w:firstLine="482"/>
        <w:spacing w:line="480" w:lineRule="exact"/>
        <w:rPr>
          <w:rFonts w:ascii="宋体" w:hAnsi="宋体"/>
          <w:color w:val="auto"/>
          <w:sz w:val="24"/>
          <w:szCs w:val="24"/>
          <w:highlight w:val="none"/>
        </w:rPr>
      </w:pPr>
      <w:r>
        <w:rPr>
          <w:rFonts w:hint="eastAsia"/>
          <w:color w:val="auto"/>
          <w:sz w:val="24"/>
          <w:szCs w:val="24"/>
          <w:highlight w:val="none"/>
        </w:rPr>
        <w:t xml:space="preserve">授权单位名称：</w:t>
      </w:r>
      <w:r>
        <w:rPr>
          <w:rFonts w:hint="eastAsia"/>
          <w:color w:val="auto"/>
          <w:sz w:val="24"/>
          <w:szCs w:val="24"/>
          <w:highlight w:val="none"/>
          <w:u w:val="single"/>
        </w:rPr>
        <w:t xml:space="preserve">（盖CA电子公章）</w:t>
      </w:r>
      <w:r/>
    </w:p>
    <w:p>
      <w:pPr>
        <w:pStyle w:val="1129"/>
        <w:ind w:firstLine="482"/>
        <w:spacing w:line="480" w:lineRule="exact"/>
        <w:rPr>
          <w:rFonts w:ascii="宋体" w:hAnsi="宋体"/>
          <w:color w:val="auto"/>
          <w:sz w:val="24"/>
          <w:szCs w:val="24"/>
          <w:highlight w:val="none"/>
        </w:rPr>
      </w:pPr>
      <w:r>
        <w:rPr>
          <w:rFonts w:hint="eastAsia"/>
          <w:color w:val="auto"/>
          <w:sz w:val="24"/>
          <w:szCs w:val="24"/>
          <w:highlight w:val="none"/>
        </w:rPr>
        <w:t xml:space="preserve">单位地址：</w:t>
      </w:r>
      <w:r>
        <w:rPr>
          <w:rFonts w:hint="eastAsia"/>
          <w:color w:val="auto"/>
          <w:sz w:val="24"/>
          <w:szCs w:val="24"/>
          <w:highlight w:val="none"/>
          <w:u w:val="single"/>
        </w:rPr>
        <w:t xml:space="preserve">                                         </w:t>
      </w:r>
      <w:r/>
    </w:p>
    <w:p>
      <w:pPr>
        <w:pStyle w:val="1129"/>
        <w:ind w:firstLine="482"/>
        <w:spacing w:line="480" w:lineRule="exact"/>
        <w:rPr>
          <w:rFonts w:hint="eastAsia" w:ascii="宋体" w:hAnsi="宋体"/>
          <w:color w:val="auto"/>
          <w:sz w:val="24"/>
          <w:szCs w:val="24"/>
          <w:highlight w:val="none"/>
        </w:rPr>
      </w:pPr>
      <w:r>
        <w:rPr>
          <w:rFonts w:hint="eastAsia"/>
          <w:color w:val="auto"/>
          <w:sz w:val="24"/>
          <w:szCs w:val="24"/>
          <w:highlight w:val="none"/>
        </w:rPr>
        <w:t xml:space="preserve">日期：</w:t>
      </w:r>
      <w:bookmarkStart w:id="152" w:name="_Hlt26955070"/>
      <w:r/>
      <w:bookmarkEnd w:id="152"/>
      <w:r/>
      <w:bookmarkStart w:id="153" w:name="_Hlt26671380"/>
      <w:r/>
      <w:bookmarkEnd w:id="153"/>
      <w:r/>
      <w:bookmarkStart w:id="154" w:name="_格式3__银行出具的资信证明"/>
      <w:r/>
      <w:bookmarkEnd w:id="154"/>
      <w:r>
        <w:rPr>
          <w:rFonts w:hint="eastAsia"/>
          <w:color w:val="auto"/>
          <w:sz w:val="24"/>
          <w:szCs w:val="24"/>
          <w:highlight w:val="none"/>
          <w:u w:val="single"/>
        </w:rPr>
        <w:t xml:space="preserve">                                         </w:t>
      </w:r>
      <w:r/>
    </w:p>
    <w:p>
      <w:pPr>
        <w:pStyle w:val="1011"/>
        <w:ind w:firstLine="629"/>
        <w:spacing w:line="700" w:lineRule="exact"/>
        <w:rPr>
          <w:rFonts w:ascii="方正仿宋_GBK" w:eastAsia="方正仿宋_GBK"/>
          <w:color w:val="auto"/>
          <w:sz w:val="24"/>
          <w:highlight w:val="none"/>
        </w:rPr>
      </w:pPr>
      <w:r>
        <w:rPr>
          <w:rFonts w:ascii="方正仿宋_GBK" w:eastAsia="方正仿宋_GBK"/>
          <w:color w:val="auto"/>
          <w:sz w:val="24"/>
          <w:highlight w:val="none"/>
        </w:rPr>
      </w:r>
      <w:r/>
    </w:p>
    <w:p>
      <w:pPr>
        <w:pStyle w:val="1014"/>
        <w:rPr>
          <w:color w:val="auto"/>
          <w:highlight w:val="none"/>
        </w:rPr>
        <w:outlineLvl w:val="1"/>
      </w:pPr>
      <w:r>
        <w:rPr>
          <w:color w:val="auto"/>
          <w:highlight w:val="none"/>
        </w:rPr>
        <w:br w:type="page" w:clear="all"/>
      </w:r>
      <w:bookmarkStart w:id="155" w:name="_Toc27199"/>
      <w:r/>
      <w:bookmarkStart w:id="156" w:name="_Toc13550"/>
      <w:r/>
      <w:bookmarkStart w:id="157" w:name="_Toc30543"/>
      <w:r>
        <w:rPr>
          <w:rFonts w:hint="eastAsia"/>
          <w:b w:val="0"/>
          <w:bCs/>
          <w:color w:val="auto"/>
          <w:highlight w:val="none"/>
        </w:rPr>
        <w:t xml:space="preserve">四</w:t>
      </w:r>
      <w:r>
        <w:rPr>
          <w:b w:val="0"/>
          <w:bCs/>
          <w:color w:val="auto"/>
          <w:highlight w:val="none"/>
        </w:rPr>
        <w:t xml:space="preserve">、开标一览表</w:t>
      </w:r>
      <w:bookmarkEnd w:id="155"/>
      <w:r/>
      <w:bookmarkEnd w:id="156"/>
      <w:r/>
      <w:bookmarkEnd w:id="157"/>
      <w:r/>
      <w:r/>
    </w:p>
    <w:p>
      <w:pPr>
        <w:pStyle w:val="1015"/>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15"/>
        <w:rPr>
          <w:color w:val="auto"/>
          <w:highlight w:val="none"/>
        </w:rPr>
      </w:pPr>
      <w:r>
        <w:rPr>
          <w:rFonts w:hint="eastAsia" w:ascii="宋体" w:hAnsi="宋体" w:eastAsia="宋体" w:cs="宋体"/>
          <w:color w:val="auto"/>
          <w:highlight w:val="none"/>
        </w:rPr>
        <w:t xml:space="preserve">投标人全称</w:t>
      </w:r>
      <w:r>
        <w:rPr>
          <w:rFonts w:hint="eastAsia"/>
          <w:color w:val="auto"/>
          <w:highlight w:val="none"/>
        </w:rPr>
        <w:t xml:space="preserve">(CA</w:t>
      </w:r>
      <w:r>
        <w:rPr>
          <w:rFonts w:hint="eastAsia" w:ascii="宋体" w:hAnsi="宋体" w:eastAsia="宋体" w:cs="宋体"/>
          <w:color w:val="auto"/>
          <w:highlight w:val="none"/>
        </w:rPr>
        <w:t xml:space="preserve">公章</w:t>
      </w:r>
      <w:r>
        <w:rPr>
          <w:rFonts w:hint="eastAsia"/>
          <w:color w:val="auto"/>
          <w:highlight w:val="none"/>
        </w:rPr>
        <w:t xml:space="preserve">) </w:t>
      </w:r>
      <w:r>
        <w:rPr>
          <w:rFonts w:hint="eastAsia" w:eastAsia="宋体"/>
          <w:color w:val="auto"/>
          <w:highlight w:val="none"/>
        </w:rPr>
        <w:t xml:space="preserve">：</w:t>
      </w:r>
      <w:r>
        <w:rPr>
          <w:rFonts w:hint="eastAsia" w:ascii="宋体" w:hAnsi="宋体" w:eastAsia="宋体" w:cs="宋体"/>
          <w:color w:val="auto"/>
          <w:highlight w:val="none"/>
        </w:rPr>
        <w:t xml:space="preserve">供应商名称</w:t>
      </w:r>
      <w:r/>
    </w:p>
    <w:p>
      <w:pP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采购项目名称：</w:t>
      </w:r>
      <w:r/>
    </w:p>
    <w:p>
      <w:pP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采购项目编号： </w:t>
      </w:r>
      <w:r/>
    </w:p>
    <w:p>
      <w:pP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采购包</w:t>
      </w:r>
      <w:r>
        <w:rPr>
          <w:rFonts w:hint="eastAsia" w:ascii="宋体" w:hAnsi="宋体" w:cs="宋体"/>
          <w:color w:val="auto"/>
          <w:sz w:val="24"/>
          <w:szCs w:val="24"/>
          <w:highlight w:val="none"/>
          <w:lang w:eastAsia="zh-CN"/>
        </w:rPr>
        <w:t xml:space="preserve">号</w:t>
      </w:r>
      <w:r>
        <w:rPr>
          <w:rFonts w:hint="eastAsia" w:ascii="宋体" w:hAnsi="宋体" w:cs="宋体"/>
          <w:color w:val="auto"/>
          <w:sz w:val="24"/>
          <w:szCs w:val="24"/>
          <w:highlight w:val="none"/>
        </w:rPr>
        <w:t xml:space="preserve">：</w:t>
      </w:r>
      <w:r>
        <w:rPr>
          <w:rStyle w:val="1079"/>
          <w:rFonts w:ascii="宋体" w:hAnsi="宋体" w:eastAsia="宋体" w:cs="宋体"/>
          <w:color w:val="auto"/>
          <w:sz w:val="24"/>
          <w:szCs w:val="24"/>
          <w:highlight w:val="none"/>
        </w:rPr>
        <w:t xml:space="preserve">分包号</w:t>
      </w:r>
      <w:r>
        <w:rPr>
          <w:rFonts w:ascii="宋体" w:hAnsi="宋体" w:eastAsia="宋体" w:cs="宋体"/>
          <w:color w:val="auto"/>
          <w:sz w:val="24"/>
          <w:szCs w:val="24"/>
          <w:highlight w:val="none"/>
        </w:rPr>
        <w:t xml:space="preserve"> </w:t>
      </w:r>
      <w:r/>
    </w:p>
    <w:tbl>
      <w:tblPr>
        <w:tblStyle w:val="79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00"/>
      </w:tblGrid>
      <w:tr>
        <w:trPr/>
        <w:tc>
          <w:tcPr>
            <w:tcW w:w="9400" w:type="dxa"/>
            <w:vAlign w:val="top"/>
            <w:textDirection w:val="lrTb"/>
            <w:noWrap w:val="false"/>
          </w:tcPr>
          <w:p>
            <w:pPr>
              <w:jc w:val="center"/>
              <w:spacing w:line="500" w:lineRule="exact"/>
              <w:rPr>
                <w:rFonts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投标总报价</w:t>
            </w:r>
            <w:r/>
          </w:p>
        </w:tc>
      </w:tr>
      <w:tr>
        <w:trPr/>
        <w:tc>
          <w:tcPr>
            <w:tcW w:w="9400" w:type="dxa"/>
            <w:vAlign w:val="top"/>
            <w:textDirection w:val="lrTb"/>
            <w:noWrap w:val="false"/>
          </w:tcPr>
          <w:p>
            <w:pPr>
              <w:spacing w:line="500" w:lineRule="exact"/>
              <w:rPr>
                <w:rFonts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总价（小写）：          </w:t>
            </w:r>
            <w:r>
              <w:rPr>
                <w:rFonts w:ascii="宋体" w:hAnsi="宋体" w:eastAsia="宋体" w:cs="宋体"/>
                <w:color w:val="auto"/>
                <w:sz w:val="24"/>
                <w:szCs w:val="24"/>
                <w:highlight w:val="none"/>
              </w:rPr>
              <w:t xml:space="preserve">（人民币：元）</w:t>
            </w:r>
            <w:r/>
          </w:p>
        </w:tc>
      </w:tr>
      <w:tr>
        <w:trPr/>
        <w:tc>
          <w:tcPr>
            <w:tcW w:w="9400" w:type="dxa"/>
            <w:vAlign w:val="top"/>
            <w:textDirection w:val="lrTb"/>
            <w:noWrap w:val="false"/>
          </w:tcPr>
          <w:p>
            <w:pPr>
              <w:spacing w:line="500" w:lineRule="exact"/>
              <w:rPr>
                <w:rFonts w:hint="eastAsia" w:ascii="宋体" w:hAnsi="宋体" w:cs="宋体"/>
                <w:color w:val="auto"/>
                <w:sz w:val="24"/>
                <w:szCs w:val="24"/>
                <w:highlight w:val="none"/>
                <w:vertAlign w:val="baseline"/>
              </w:rPr>
            </w:pPr>
            <w:r>
              <w:rPr>
                <w:rFonts w:ascii="宋体" w:hAnsi="宋体" w:eastAsia="宋体" w:cs="宋体"/>
                <w:color w:val="auto"/>
                <w:sz w:val="24"/>
                <w:szCs w:val="24"/>
                <w:highlight w:val="none"/>
              </w:rPr>
              <w:t xml:space="preserve">总价（大写）：</w:t>
            </w:r>
            <w:r>
              <w:rPr>
                <w:rStyle w:val="1079"/>
                <w:rFonts w:ascii="宋体" w:hAnsi="宋体" w:eastAsia="宋体" w:cs="宋体"/>
                <w:color w:val="auto"/>
                <w:sz w:val="24"/>
                <w:szCs w:val="24"/>
                <w:highlight w:val="none"/>
              </w:rPr>
              <w:t xml:space="preserve">金额大写</w:t>
            </w:r>
            <w:r>
              <w:rPr>
                <w:rFonts w:ascii="宋体" w:hAnsi="宋体" w:eastAsia="宋体" w:cs="宋体"/>
                <w:color w:val="auto"/>
                <w:sz w:val="24"/>
                <w:szCs w:val="24"/>
                <w:highlight w:val="none"/>
              </w:rPr>
              <w:t xml:space="preserve"> （人民币：元）</w:t>
            </w:r>
            <w:r/>
          </w:p>
        </w:tc>
      </w:tr>
    </w:tbl>
    <w:p>
      <w:pP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ascii="宋体" w:hAnsi="宋体" w:cs="宋体"/>
          <w:color w:val="auto"/>
          <w:sz w:val="24"/>
          <w:highlight w:val="none"/>
        </w:rPr>
      </w:pPr>
      <w:r>
        <w:rPr>
          <w:rFonts w:hint="eastAsia"/>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     </w:t>
      </w:r>
      <w:bookmarkStart w:id="158" w:name="_Toc12113"/>
      <w:r>
        <w:rPr>
          <w:rFonts w:hint="eastAsia" w:ascii="宋体" w:hAnsi="宋体" w:cs="宋体"/>
          <w:color w:val="auto"/>
          <w:sz w:val="24"/>
          <w:highlight w:val="none"/>
        </w:rPr>
        <w:t xml:space="preserve">日期： </w:t>
      </w:r>
      <w:r>
        <w:rPr>
          <w:rFonts w:ascii="宋体" w:hAnsi="宋体" w:cs="宋体"/>
          <w:color w:val="auto"/>
          <w:sz w:val="24"/>
          <w:highlight w:val="none"/>
        </w:rPr>
        <w:t xml:space="preserve">    </w:t>
      </w:r>
      <w:r>
        <w:rPr>
          <w:rFonts w:hint="eastAsia" w:ascii="宋体" w:hAnsi="宋体" w:cs="宋体"/>
          <w:color w:val="auto"/>
          <w:sz w:val="24"/>
          <w:highlight w:val="none"/>
        </w:rPr>
        <w:t xml:space="preserve">年 </w:t>
      </w:r>
      <w:r>
        <w:rPr>
          <w:rFonts w:ascii="宋体" w:hAnsi="宋体" w:cs="宋体"/>
          <w:color w:val="auto"/>
          <w:sz w:val="24"/>
          <w:highlight w:val="none"/>
        </w:rPr>
        <w:t xml:space="preserve">    </w:t>
      </w:r>
      <w:r>
        <w:rPr>
          <w:rFonts w:hint="eastAsia" w:ascii="宋体" w:hAnsi="宋体" w:cs="宋体"/>
          <w:color w:val="auto"/>
          <w:sz w:val="24"/>
          <w:highlight w:val="none"/>
        </w:rPr>
        <w:t xml:space="preserve">月 </w:t>
      </w:r>
      <w:r>
        <w:rPr>
          <w:rFonts w:ascii="宋体" w:hAnsi="宋体" w:cs="宋体"/>
          <w:color w:val="auto"/>
          <w:sz w:val="24"/>
          <w:highlight w:val="none"/>
        </w:rPr>
        <w:t xml:space="preserve">    </w:t>
      </w:r>
      <w:r>
        <w:rPr>
          <w:rFonts w:hint="eastAsia" w:ascii="宋体" w:hAnsi="宋体" w:cs="宋体"/>
          <w:color w:val="auto"/>
          <w:sz w:val="24"/>
          <w:highlight w:val="none"/>
        </w:rPr>
        <w:t xml:space="preserve">日</w:t>
      </w:r>
      <w:bookmarkEnd w:id="158"/>
      <w:r/>
      <w:r/>
    </w:p>
    <w:p>
      <w:pPr>
        <w:pStyle w:val="1017"/>
        <w:rPr>
          <w:rFonts w:hint="eastAsia"/>
          <w:color w:val="auto"/>
          <w:highlight w:val="none"/>
        </w:rPr>
        <w:outlineLvl w:val="1"/>
      </w:pPr>
      <w:r>
        <w:rPr>
          <w:color w:val="auto"/>
          <w:highlight w:val="none"/>
        </w:rPr>
        <w:br w:type="page" w:clear="all"/>
      </w:r>
      <w:bookmarkStart w:id="159" w:name="_Toc956"/>
      <w:r/>
      <w:bookmarkStart w:id="160" w:name="_Toc26543"/>
      <w:r/>
      <w:bookmarkStart w:id="161" w:name="_Toc12614"/>
      <w:r>
        <w:rPr>
          <w:rFonts w:hint="eastAsia"/>
          <w:b w:val="0"/>
          <w:bCs/>
          <w:color w:val="auto"/>
          <w:highlight w:val="none"/>
        </w:rPr>
        <w:t xml:space="preserve">五</w:t>
      </w:r>
      <w:r>
        <w:rPr>
          <w:b w:val="0"/>
          <w:bCs/>
          <w:color w:val="auto"/>
          <w:highlight w:val="none"/>
        </w:rPr>
        <w:t xml:space="preserve">、</w:t>
      </w:r>
      <w:bookmarkEnd w:id="159"/>
      <w:r/>
      <w:bookmarkEnd w:id="160"/>
      <w:r>
        <w:rPr>
          <w:rFonts w:hint="eastAsia"/>
          <w:b w:val="0"/>
          <w:bCs/>
          <w:color w:val="auto"/>
          <w:highlight w:val="none"/>
        </w:rPr>
        <w:t xml:space="preserve">分项报价表</w:t>
      </w:r>
      <w:bookmarkEnd w:id="161"/>
      <w:r/>
      <w:r/>
    </w:p>
    <w:p>
      <w:pPr>
        <w:pStyle w:val="1009"/>
        <w:jc w:val="center"/>
        <w:rPr>
          <w:rFonts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分项报价表</w:t>
      </w:r>
      <w:r/>
    </w:p>
    <w:p>
      <w:pPr>
        <w:pStyle w:val="1009"/>
        <w:jc w:val="center"/>
        <w:rPr>
          <w:rFonts w:hint="eastAsia"/>
          <w:b/>
          <w:bCs/>
          <w:color w:val="auto"/>
          <w:highlight w:val="none"/>
        </w:rPr>
      </w:pPr>
      <w:r>
        <w:rPr>
          <w:rFonts w:hint="eastAsia" w:ascii="方正小标宋_GBK" w:eastAsia="方正小标宋_GBK"/>
          <w:bCs/>
          <w:color w:val="auto"/>
          <w:sz w:val="32"/>
          <w:szCs w:val="32"/>
          <w:highlight w:val="none"/>
        </w:rPr>
        <w:t xml:space="preserve">（货物类）</w:t>
      </w:r>
      <w:r/>
    </w:p>
    <w:tbl>
      <w:tblPr>
        <w:tblStyle w:val="673"/>
        <w:tblW w:w="1041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052"/>
        <w:gridCol w:w="814"/>
        <w:gridCol w:w="1072"/>
        <w:gridCol w:w="1617"/>
        <w:gridCol w:w="1233"/>
        <w:gridCol w:w="921"/>
        <w:gridCol w:w="932"/>
        <w:gridCol w:w="754"/>
        <w:gridCol w:w="1518"/>
      </w:tblGrid>
      <w:tr>
        <w:trPr>
          <w:cantSplit/>
          <w:trHeight w:val="544"/>
        </w:trPr>
        <w:tc>
          <w:tcPr>
            <w:tcW w:w="500" w:type="dxa"/>
            <w:vAlign w:val="top"/>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1052"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产品</w:t>
            </w:r>
            <w:r/>
          </w:p>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名称</w:t>
            </w:r>
            <w:r/>
          </w:p>
        </w:tc>
        <w:tc>
          <w:tcPr>
            <w:tcW w:w="814"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品牌</w:t>
            </w:r>
            <w:r/>
          </w:p>
        </w:tc>
        <w:tc>
          <w:tcPr>
            <w:tcW w:w="1072"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规格</w:t>
            </w:r>
            <w:r/>
          </w:p>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型号</w:t>
            </w:r>
            <w:r/>
          </w:p>
        </w:tc>
        <w:tc>
          <w:tcPr>
            <w:tcW w:w="1617"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制造商名称</w:t>
            </w:r>
            <w:r/>
          </w:p>
        </w:tc>
        <w:tc>
          <w:tcPr>
            <w:tcW w:w="1233"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产地</w:t>
            </w:r>
            <w:r/>
          </w:p>
        </w:tc>
        <w:tc>
          <w:tcPr>
            <w:tcW w:w="921"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数量</w:t>
            </w:r>
            <w:r/>
          </w:p>
        </w:tc>
        <w:tc>
          <w:tcPr>
            <w:tcW w:w="932" w:type="dxa"/>
            <w:vAlign w:val="center"/>
            <w:textDirection w:val="lrTb"/>
            <w:noWrap w:val="false"/>
          </w:tcPr>
          <w:p>
            <w:pPr>
              <w:jc w:val="left"/>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分项</w:t>
            </w:r>
            <w:r/>
          </w:p>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单价</w:t>
            </w:r>
            <w:r/>
          </w:p>
        </w:tc>
        <w:tc>
          <w:tcPr>
            <w:tcW w:w="754" w:type="dxa"/>
            <w:vAlign w:val="center"/>
            <w:textDirection w:val="lrTb"/>
            <w:noWrap w:val="false"/>
          </w:tcPr>
          <w:p>
            <w:pPr>
              <w:jc w:val="left"/>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分项</w:t>
            </w:r>
            <w:r/>
          </w:p>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总价</w:t>
            </w:r>
            <w:r/>
          </w:p>
        </w:tc>
        <w:tc>
          <w:tcPr>
            <w:tcW w:w="1518" w:type="dxa"/>
            <w:vAlign w:val="center"/>
            <w:textDirection w:val="lrTb"/>
            <w:noWrap w:val="false"/>
          </w:tcPr>
          <w:p>
            <w:pPr>
              <w:jc w:val="left"/>
              <w:spacing w:line="0" w:lineRule="atLeas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备注</w:t>
            </w:r>
            <w:r/>
          </w:p>
        </w:tc>
      </w:tr>
      <w:tr>
        <w:trPr>
          <w:cantSplit/>
          <w:trHeight w:val="688"/>
        </w:trPr>
        <w:tc>
          <w:tcPr>
            <w:tcW w:w="500"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1052"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14"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072"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617"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33"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21"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32"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54"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518" w:type="dxa"/>
            <w:vAlign w:val="center"/>
            <w:textDirection w:val="lrTb"/>
            <w:noWrap w:val="false"/>
          </w:tcPr>
          <w:p>
            <w:pPr>
              <w:jc w:val="left"/>
              <w:spacing w:line="0" w:lineRule="atLeast"/>
              <w:rPr>
                <w:rFonts w:hint="default" w:ascii="宋体" w:hAnsi="宋体" w:eastAsia="宋体"/>
                <w:b w:val="0"/>
                <w:bCs/>
                <w:i/>
                <w:color w:val="auto"/>
                <w:sz w:val="20"/>
                <w:szCs w:val="20"/>
                <w:highlight w:val="none"/>
                <w:u w:val="none"/>
              </w:rPr>
            </w:pPr>
            <w:r>
              <w:rPr>
                <w:rFonts w:hint="eastAsia" w:ascii="宋体" w:hAnsi="宋体"/>
                <w:b w:val="0"/>
                <w:bCs w:val="0"/>
                <w:i/>
                <w:iCs/>
                <w:color w:val="auto"/>
                <w:sz w:val="20"/>
                <w:szCs w:val="20"/>
                <w:highlight w:val="none"/>
                <w:u w:val="none"/>
                <w:lang w:val="en-US" w:eastAsia="zh-CN"/>
              </w:rPr>
              <w:t xml:space="preserve">此项填报旧梯残值抵扣费用（不计入总价）</w:t>
            </w:r>
            <w:r/>
          </w:p>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96"/>
        </w:trPr>
        <w:tc>
          <w:tcPr>
            <w:tcW w:w="500"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1052"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14"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072"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617"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33" w:type="dxa"/>
            <w:vAlign w:val="top"/>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21" w:type="dxa"/>
            <w:vAlign w:val="center"/>
            <w:textDirection w:val="lrTb"/>
            <w:noWrap w:val="false"/>
          </w:tcPr>
          <w:p>
            <w:pPr>
              <w:jc w:val="left"/>
              <w:spacing w:line="0" w:lineRule="atLeast"/>
              <w:rPr>
                <w:rFonts w:hint="eastAsia" w:ascii="宋体" w:hAnsi="宋体"/>
                <w:color w:val="auto"/>
                <w:sz w:val="24"/>
                <w:szCs w:val="24"/>
                <w:highlight w:val="none"/>
                <w:u w:val="single"/>
              </w:rPr>
            </w:pPr>
            <w:r>
              <w:rPr>
                <w:rFonts w:hint="eastAsia" w:ascii="宋体" w:hAnsi="宋体"/>
                <w:color w:val="auto"/>
                <w:sz w:val="24"/>
                <w:szCs w:val="24"/>
                <w:highlight w:val="none"/>
                <w:u w:val="single"/>
              </w:rPr>
            </w:r>
            <w:r/>
          </w:p>
        </w:tc>
        <w:tc>
          <w:tcPr>
            <w:tcW w:w="932"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54"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518" w:type="dxa"/>
            <w:vAlign w:val="center"/>
            <w:textDirection w:val="lrTb"/>
            <w:noWrap w:val="false"/>
          </w:tcPr>
          <w:p>
            <w:pPr>
              <w:jc w:val="left"/>
              <w:spacing w:line="0" w:lineRule="atLeast"/>
              <w:rPr>
                <w:rFonts w:hint="default" w:ascii="宋体" w:hAnsi="宋体" w:eastAsia="宋体"/>
                <w:color w:val="auto"/>
                <w:sz w:val="24"/>
                <w:szCs w:val="24"/>
                <w:highlight w:val="none"/>
                <w:lang w:val="en-US" w:eastAsia="zh-CN"/>
              </w:rPr>
            </w:pPr>
            <w:r>
              <w:rPr>
                <w:rFonts w:hint="default" w:ascii="宋体" w:hAnsi="宋体" w:eastAsia="宋体"/>
                <w:color w:val="auto"/>
                <w:sz w:val="24"/>
                <w:szCs w:val="24"/>
                <w:highlight w:val="none"/>
                <w:lang w:val="en-US" w:eastAsia="zh-CN"/>
              </w:rPr>
            </w:r>
            <w:r/>
          </w:p>
        </w:tc>
      </w:tr>
      <w:tr>
        <w:trPr>
          <w:cantSplit/>
          <w:trHeight w:val="724"/>
        </w:trPr>
        <w:tc>
          <w:tcPr>
            <w:tcW w:w="500"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1052"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14"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072"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617"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33" w:type="dxa"/>
            <w:vAlign w:val="top"/>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21"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32"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54"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518"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00"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4</w:t>
            </w:r>
            <w:r/>
          </w:p>
        </w:tc>
        <w:tc>
          <w:tcPr>
            <w:tcW w:w="1052"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14"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072"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617"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33" w:type="dxa"/>
            <w:vAlign w:val="top"/>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21"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32"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54"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518"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77"/>
        </w:trPr>
        <w:tc>
          <w:tcPr>
            <w:tcW w:w="500" w:type="dxa"/>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052" w:type="dxa"/>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814"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072"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617"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33" w:type="dxa"/>
            <w:vAlign w:val="top"/>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21"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32"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54"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518" w:type="dxa"/>
            <w:vAlign w:val="center"/>
            <w:textDirection w:val="lrTb"/>
            <w:noWrap w:val="false"/>
          </w:tcPr>
          <w:p>
            <w:pPr>
              <w:jc w:val="left"/>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77"/>
        </w:trPr>
        <w:tc>
          <w:tcPr>
            <w:gridSpan w:val="3"/>
            <w:tcW w:w="2366" w:type="dxa"/>
            <w:vAlign w:val="center"/>
            <w:textDirection w:val="lrTb"/>
            <w:noWrap w:val="false"/>
          </w:tcPr>
          <w:p>
            <w:pPr>
              <w:pStyle w:val="1106"/>
              <w:jc w:val="left"/>
              <w:spacing w:line="500" w:lineRule="exact"/>
              <w:rPr>
                <w:rFonts w:hint="eastAsia" w:ascii="宋体" w:hAnsi="宋体"/>
                <w:b/>
                <w:bCs/>
                <w:color w:val="auto"/>
                <w:sz w:val="24"/>
                <w:highlight w:val="none"/>
              </w:rPr>
            </w:pPr>
            <w:r>
              <w:rPr>
                <w:rFonts w:hint="eastAsia" w:ascii="宋体" w:hAnsi="宋体"/>
                <w:b/>
                <w:bCs/>
                <w:color w:val="auto"/>
                <w:sz w:val="28"/>
                <w:szCs w:val="28"/>
                <w:highlight w:val="none"/>
              </w:rPr>
              <w:t xml:space="preserve">投标总报价</w:t>
            </w:r>
            <w:r/>
          </w:p>
        </w:tc>
        <w:tc>
          <w:tcPr>
            <w:gridSpan w:val="7"/>
            <w:tcW w:w="8047" w:type="dxa"/>
            <w:vAlign w:val="center"/>
            <w:textDirection w:val="lrTb"/>
            <w:noWrap w:val="false"/>
          </w:tcPr>
          <w:p>
            <w:pPr>
              <w:pStyle w:val="1106"/>
              <w:jc w:val="left"/>
              <w:spacing w:line="500" w:lineRule="exact"/>
              <w:rPr>
                <w:rFonts w:hint="eastAsia" w:ascii="宋体" w:hAnsi="宋体"/>
                <w:b/>
                <w:bCs/>
                <w:color w:val="auto"/>
                <w:sz w:val="24"/>
                <w:highlight w:val="none"/>
              </w:rPr>
            </w:pPr>
            <w:r>
              <w:rPr>
                <w:rFonts w:hint="eastAsia" w:ascii="宋体" w:hAnsi="宋体"/>
                <w:b/>
                <w:bCs/>
                <w:color w:val="auto"/>
                <w:sz w:val="24"/>
                <w:highlight w:val="none"/>
              </w:rPr>
              <w:t xml:space="preserve">￥</w:t>
            </w:r>
            <w:r>
              <w:rPr>
                <w:rFonts w:hint="eastAsia" w:ascii="宋体" w:hAnsi="宋体"/>
                <w:color w:val="auto"/>
                <w:sz w:val="24"/>
                <w:highlight w:val="non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r/>
          </w:p>
          <w:p>
            <w:pPr>
              <w:pStyle w:val="1106"/>
              <w:jc w:val="left"/>
              <w:spacing w:line="500" w:lineRule="exact"/>
              <w:rPr>
                <w:rFonts w:hint="eastAsia" w:ascii="宋体" w:hAnsi="宋体"/>
                <w:b/>
                <w:bCs/>
                <w:color w:val="auto"/>
                <w:sz w:val="24"/>
                <w:highlight w:val="none"/>
              </w:rPr>
            </w:pPr>
            <w:r>
              <w:rPr>
                <w:rFonts w:hint="eastAsia" w:ascii="宋体" w:hAnsi="宋体"/>
                <w:b/>
                <w:bCs/>
                <w:color w:val="auto"/>
                <w:sz w:val="24"/>
                <w:highlight w:val="none"/>
              </w:rPr>
              <w:t xml:space="preserve">人民币（大写）：</w:t>
            </w:r>
            <w:r>
              <w:rPr>
                <w:rFonts w:hint="eastAsia" w:ascii="宋体" w:hAnsi="宋体"/>
                <w:b/>
                <w:bCs/>
                <w:color w:val="auto"/>
                <w:sz w:val="24"/>
                <w:highlight w:val="none"/>
                <w:u w:val="single"/>
              </w:rPr>
              <w:t xml:space="preserve"> </w:t>
            </w:r>
            <w:r>
              <w:rPr>
                <w:rFonts w:ascii="宋体" w:hAnsi="宋体"/>
                <w:b/>
                <w:bCs/>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仟     </w:t>
            </w:r>
            <w:r>
              <w:rPr>
                <w:rFonts w:hint="eastAsia" w:ascii="宋体" w:hAnsi="宋体"/>
                <w:bCs/>
                <w:color w:val="auto"/>
                <w:sz w:val="24"/>
                <w:highlight w:val="none"/>
              </w:rPr>
              <w:t xml:space="preserve">佰</w:t>
            </w:r>
            <w:r>
              <w:rPr>
                <w:rFonts w:hint="eastAsia" w:ascii="宋体" w:hAnsi="宋体"/>
                <w:color w:val="auto"/>
                <w:sz w:val="24"/>
                <w:highlight w:val="none"/>
                <w:u w:val="single"/>
              </w:rPr>
              <w:t xml:space="preserve">    </w:t>
            </w:r>
            <w:r>
              <w:rPr>
                <w:rFonts w:hint="eastAsia" w:ascii="宋体" w:hAnsi="宋体"/>
                <w:bCs/>
                <w:color w:val="auto"/>
                <w:sz w:val="24"/>
                <w:highlight w:val="none"/>
              </w:rPr>
              <w:t xml:space="preserve">拾</w:t>
            </w:r>
            <w:r>
              <w:rPr>
                <w:rFonts w:hint="eastAsia" w:ascii="宋体" w:hAnsi="宋体"/>
                <w:color w:val="auto"/>
                <w:sz w:val="24"/>
                <w:highlight w:val="none"/>
                <w:u w:val="single"/>
              </w:rPr>
              <w:t xml:space="preserve">    </w:t>
            </w:r>
            <w:r>
              <w:rPr>
                <w:rFonts w:hint="eastAsia" w:ascii="宋体" w:hAnsi="宋体"/>
                <w:bCs/>
                <w:color w:val="auto"/>
                <w:sz w:val="24"/>
                <w:highlight w:val="none"/>
              </w:rPr>
              <w:t xml:space="preserve"> 万</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仟</w:t>
            </w:r>
            <w:r>
              <w:rPr>
                <w:rFonts w:hint="eastAsia" w:ascii="宋体" w:hAnsi="宋体"/>
                <w:color w:val="auto"/>
                <w:sz w:val="24"/>
                <w:highlight w:val="none"/>
                <w:u w:val="single"/>
              </w:rPr>
              <w:t xml:space="preserve">      </w:t>
            </w:r>
            <w:r>
              <w:rPr>
                <w:rFonts w:hint="eastAsia" w:ascii="宋体" w:hAnsi="宋体"/>
                <w:bCs/>
                <w:color w:val="auto"/>
                <w:sz w:val="24"/>
                <w:highlight w:val="none"/>
              </w:rPr>
              <w:t xml:space="preserve">佰</w:t>
            </w:r>
            <w:r>
              <w:rPr>
                <w:rFonts w:hint="eastAsia" w:ascii="宋体" w:hAnsi="宋体"/>
                <w:color w:val="auto"/>
                <w:sz w:val="24"/>
                <w:highlight w:val="none"/>
                <w:u w:val="single"/>
              </w:rPr>
              <w:t xml:space="preserve">      </w:t>
            </w:r>
            <w:r>
              <w:rPr>
                <w:rFonts w:hint="eastAsia" w:ascii="宋体" w:hAnsi="宋体"/>
                <w:bCs/>
                <w:color w:val="auto"/>
                <w:sz w:val="24"/>
                <w:highlight w:val="none"/>
              </w:rPr>
              <w:t xml:space="preserve">拾</w:t>
            </w:r>
            <w:r>
              <w:rPr>
                <w:rFonts w:hint="eastAsia" w:ascii="宋体" w:hAnsi="宋体"/>
                <w:color w:val="auto"/>
                <w:sz w:val="24"/>
                <w:highlight w:val="none"/>
                <w:u w:val="single"/>
              </w:rPr>
              <w:t xml:space="preserve">     </w:t>
            </w:r>
            <w:r>
              <w:rPr>
                <w:rFonts w:hint="eastAsia" w:ascii="宋体" w:hAnsi="宋体"/>
                <w:bCs/>
                <w:color w:val="auto"/>
                <w:sz w:val="24"/>
                <w:highlight w:val="none"/>
              </w:rPr>
              <w:t xml:space="preserve">元</w:t>
            </w:r>
            <w:r>
              <w:rPr>
                <w:rFonts w:hint="eastAsia" w:ascii="宋体" w:hAnsi="宋体"/>
                <w:color w:val="auto"/>
                <w:sz w:val="24"/>
                <w:highlight w:val="none"/>
                <w:u w:val="single"/>
              </w:rPr>
              <w:t xml:space="preserve">      </w:t>
            </w:r>
            <w:r>
              <w:rPr>
                <w:rFonts w:hint="eastAsia" w:ascii="宋体" w:hAnsi="宋体"/>
                <w:bCs/>
                <w:color w:val="auto"/>
                <w:sz w:val="24"/>
                <w:highlight w:val="none"/>
              </w:rPr>
              <w:t xml:space="preserve">角</w:t>
            </w:r>
            <w:r>
              <w:rPr>
                <w:rFonts w:hint="eastAsia" w:ascii="宋体" w:hAnsi="宋体"/>
                <w:color w:val="auto"/>
                <w:sz w:val="24"/>
                <w:highlight w:val="none"/>
                <w:u w:val="single"/>
              </w:rPr>
              <w:t xml:space="preserve">      </w:t>
            </w:r>
            <w:r>
              <w:rPr>
                <w:rFonts w:hint="eastAsia" w:ascii="宋体" w:hAnsi="宋体"/>
                <w:bCs/>
                <w:color w:val="auto"/>
                <w:sz w:val="24"/>
                <w:highlight w:val="none"/>
              </w:rPr>
              <w:t xml:space="preserve">分</w:t>
            </w:r>
            <w:r/>
          </w:p>
        </w:tc>
      </w:tr>
    </w:tbl>
    <w:p>
      <w:pPr>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备注：“投标总报价”数额应当与“开标一览表”中“投标总报价”数额一致。</w:t>
      </w:r>
      <w:r/>
    </w:p>
    <w:p>
      <w:pPr>
        <w:spacing w:line="480" w:lineRule="exact"/>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1009"/>
        <w:jc w:val="center"/>
        <w:rPr>
          <w:rFonts w:ascii="方正小标宋_GBK" w:eastAsia="方正小标宋_GBK"/>
          <w:bCs/>
          <w:color w:val="auto"/>
          <w:sz w:val="32"/>
          <w:szCs w:val="32"/>
          <w:highlight w:val="none"/>
        </w:rPr>
      </w:pPr>
      <w:r>
        <w:rPr>
          <w:rFonts w:ascii="方正小标宋_GBK" w:eastAsia="方正小标宋_GBK"/>
          <w:bCs/>
          <w:color w:val="auto"/>
          <w:sz w:val="32"/>
          <w:szCs w:val="32"/>
          <w:highlight w:val="none"/>
        </w:rPr>
      </w:r>
      <w:r/>
    </w:p>
    <w:p>
      <w:pPr>
        <w:pStyle w:val="1009"/>
        <w:jc w:val="center"/>
        <w:rPr>
          <w:rFonts w:ascii="方正小标宋_GBK" w:eastAsia="方正小标宋_GBK"/>
          <w:bCs/>
          <w:color w:val="auto"/>
          <w:sz w:val="32"/>
          <w:szCs w:val="32"/>
          <w:highlight w:val="none"/>
        </w:rPr>
      </w:pPr>
      <w:r>
        <w:rPr>
          <w:rFonts w:ascii="方正小标宋_GBK" w:eastAsia="方正小标宋_GBK"/>
          <w:bCs/>
          <w:color w:val="auto"/>
          <w:sz w:val="32"/>
          <w:szCs w:val="32"/>
          <w:highlight w:val="none"/>
        </w:rPr>
      </w:r>
      <w:r/>
    </w:p>
    <w:p>
      <w:pPr>
        <w:pStyle w:val="1009"/>
        <w:jc w:val="center"/>
        <w:rPr>
          <w:rFonts w:ascii="方正小标宋_GBK" w:eastAsia="方正小标宋_GBK"/>
          <w:bCs/>
          <w:color w:val="auto"/>
          <w:sz w:val="32"/>
          <w:szCs w:val="32"/>
          <w:highlight w:val="none"/>
        </w:rPr>
      </w:pPr>
      <w:r>
        <w:rPr>
          <w:rFonts w:ascii="方正小标宋_GBK" w:eastAsia="方正小标宋_GBK"/>
          <w:bCs/>
          <w:color w:val="auto"/>
          <w:sz w:val="32"/>
          <w:szCs w:val="32"/>
          <w:highlight w:val="none"/>
        </w:rPr>
      </w:r>
      <w:r/>
    </w:p>
    <w:p>
      <w:pPr>
        <w:pStyle w:val="1009"/>
        <w:jc w:val="center"/>
        <w:rPr>
          <w:rFonts w:ascii="方正小标宋_GBK" w:eastAsia="方正小标宋_GBK"/>
          <w:bCs/>
          <w:color w:val="auto"/>
          <w:sz w:val="32"/>
          <w:szCs w:val="32"/>
          <w:highlight w:val="none"/>
        </w:rPr>
      </w:pPr>
      <w:r>
        <w:rPr>
          <w:rFonts w:ascii="方正小标宋_GBK" w:eastAsia="方正小标宋_GBK"/>
          <w:bCs/>
          <w:color w:val="auto"/>
          <w:sz w:val="32"/>
          <w:szCs w:val="32"/>
          <w:highlight w:val="none"/>
        </w:rPr>
      </w:r>
      <w:r/>
    </w:p>
    <w:p>
      <w:pPr>
        <w:pStyle w:val="1009"/>
        <w:jc w:val="center"/>
        <w:rPr>
          <w:rFonts w:ascii="方正小标宋_GBK" w:eastAsia="方正小标宋_GBK"/>
          <w:bCs/>
          <w:color w:val="auto"/>
          <w:sz w:val="32"/>
          <w:szCs w:val="32"/>
          <w:highlight w:val="none"/>
        </w:rPr>
      </w:pPr>
      <w:r>
        <w:rPr>
          <w:rFonts w:ascii="方正小标宋_GBK" w:eastAsia="方正小标宋_GBK"/>
          <w:bCs/>
          <w:color w:val="auto"/>
          <w:sz w:val="32"/>
          <w:szCs w:val="32"/>
          <w:highlight w:val="none"/>
        </w:rPr>
      </w:r>
      <w:r/>
    </w:p>
    <w:p>
      <w:pPr>
        <w:pStyle w:val="1009"/>
        <w:jc w:val="center"/>
        <w:rPr>
          <w:rFonts w:ascii="方正小标宋_GBK" w:eastAsia="方正小标宋_GBK"/>
          <w:bCs/>
          <w:color w:val="auto"/>
          <w:sz w:val="32"/>
          <w:szCs w:val="32"/>
          <w:highlight w:val="none"/>
        </w:rPr>
      </w:pPr>
      <w:r>
        <w:rPr>
          <w:rFonts w:ascii="方正小标宋_GBK" w:eastAsia="方正小标宋_GBK"/>
          <w:bCs/>
          <w:color w:val="auto"/>
          <w:sz w:val="32"/>
          <w:szCs w:val="32"/>
          <w:highlight w:val="none"/>
        </w:rPr>
      </w:r>
      <w:r/>
    </w:p>
    <w:p>
      <w:pPr>
        <w:rPr>
          <w:rFonts w:hint="eastAsia"/>
          <w:b w:val="0"/>
          <w:bCs w:val="0"/>
          <w:color w:val="auto"/>
          <w:highlight w:val="none"/>
        </w:rPr>
        <w:outlineLvl w:val="1"/>
      </w:pPr>
      <w:r>
        <w:rPr>
          <w:color w:val="auto"/>
          <w:highlight w:val="none"/>
        </w:rPr>
        <w:br w:type="page" w:clear="all"/>
      </w:r>
      <w:r/>
    </w:p>
    <w:p>
      <w:pPr>
        <w:pStyle w:val="1043"/>
        <w:rPr>
          <w:color w:val="auto"/>
          <w:highlight w:val="none"/>
        </w:rPr>
        <w:outlineLvl w:val="1"/>
      </w:pPr>
      <w:r/>
      <w:bookmarkStart w:id="162" w:name="_Toc2747"/>
      <w:r/>
      <w:bookmarkStart w:id="163" w:name="_Toc21129"/>
      <w:r>
        <w:rPr>
          <w:rFonts w:hint="eastAsia"/>
          <w:b w:val="0"/>
          <w:bCs/>
          <w:color w:val="auto"/>
          <w:highlight w:val="none"/>
        </w:rPr>
        <w:t xml:space="preserve">六、中小企业或残疾人福利性单位声明函</w:t>
      </w:r>
      <w:bookmarkEnd w:id="162"/>
      <w:r/>
      <w:bookmarkEnd w:id="163"/>
      <w:r/>
      <w:r/>
    </w:p>
    <w:p>
      <w:pPr>
        <w:pStyle w:val="1009"/>
        <w:jc w:val="center"/>
        <w:rPr>
          <w:rFonts w:ascii="方正小标宋_GBK" w:eastAsia="方正小标宋_GBK"/>
          <w:bCs/>
          <w:color w:val="auto"/>
          <w:sz w:val="32"/>
          <w:szCs w:val="32"/>
          <w:highlight w:val="none"/>
        </w:rPr>
      </w:pPr>
      <w:r>
        <w:rPr>
          <w:rFonts w:ascii="方正小标宋_GBK" w:eastAsia="方正小标宋_GBK"/>
          <w:bCs/>
          <w:color w:val="auto"/>
          <w:sz w:val="32"/>
          <w:szCs w:val="32"/>
          <w:highlight w:val="none"/>
        </w:rPr>
      </w:r>
      <w:r/>
    </w:p>
    <w:p>
      <w:pPr>
        <w:pStyle w:val="1009"/>
        <w:jc w:val="center"/>
        <w:rPr>
          <w:rFonts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中小微企业声明函</w:t>
      </w:r>
      <w:r/>
    </w:p>
    <w:p>
      <w:pPr>
        <w:pStyle w:val="1009"/>
        <w:jc w:val="center"/>
        <w:rPr>
          <w:rFonts w:hint="eastAsia"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（货物类项目）</w:t>
      </w:r>
      <w:r/>
    </w:p>
    <w:p>
      <w:pPr>
        <w:ind w:firstLine="480"/>
        <w:spacing w:line="48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本公司（联合体）郑重声明，根据《政府采购促进中小企业发展管理办法》(财库〔2020〕46号)的规定，本公司（联合体）参加</w:t>
      </w:r>
      <w:r>
        <w:rPr>
          <w:rFonts w:hint="eastAsia" w:ascii="Times New Roman" w:hAnsi="Times New Roman"/>
          <w:color w:val="auto"/>
          <w:sz w:val="24"/>
          <w:szCs w:val="24"/>
          <w:highlight w:val="none"/>
          <w:u w:val="single"/>
        </w:rPr>
        <w:t xml:space="preserve"> 单位名称  </w:t>
      </w:r>
      <w:r>
        <w:rPr>
          <w:rFonts w:hint="eastAsia" w:ascii="Times New Roman" w:hAnsi="Times New Roman"/>
          <w:color w:val="auto"/>
          <w:sz w:val="24"/>
          <w:szCs w:val="24"/>
          <w:highlight w:val="none"/>
        </w:rPr>
        <w:t xml:space="preserve">的</w:t>
      </w:r>
      <w:r>
        <w:rPr>
          <w:rFonts w:hint="eastAsia" w:ascii="Times New Roman" w:hAnsi="Times New Roman"/>
          <w:color w:val="auto"/>
          <w:sz w:val="24"/>
          <w:szCs w:val="24"/>
          <w:highlight w:val="none"/>
          <w:u w:val="single"/>
        </w:rPr>
        <w:t xml:space="preserve">（项目名称） </w:t>
      </w:r>
      <w:r>
        <w:rPr>
          <w:rFonts w:hint="eastAsia" w:ascii="Times New Roman" w:hAnsi="Times New Roman"/>
          <w:color w:val="auto"/>
          <w:sz w:val="24"/>
          <w:szCs w:val="24"/>
          <w:highlight w:val="none"/>
        </w:rPr>
        <w:t xml:space="preserve">采购活动，提供的货物全部由符合政策要求的中小微企业制造。相关企业（含联合体中的中小微企业、签订采购包意向协议的中小微企业）的具体情况如下：</w:t>
      </w:r>
      <w:r/>
    </w:p>
    <w:p>
      <w:pPr>
        <w:ind w:firstLine="480"/>
        <w:spacing w:line="480" w:lineRule="exact"/>
        <w:rPr>
          <w:rFonts w:hint="eastAsia" w:ascii="Times New Roman" w:hAnsi="Times New Roman"/>
          <w:i/>
          <w:color w:val="auto"/>
          <w:sz w:val="24"/>
          <w:szCs w:val="24"/>
          <w:highlight w:val="none"/>
          <w:u w:val="single"/>
        </w:rPr>
      </w:pPr>
      <w:r>
        <w:rPr>
          <w:rFonts w:hint="eastAsia" w:ascii="Times New Roman" w:hAnsi="Times New Roman"/>
          <w:color w:val="auto"/>
          <w:sz w:val="24"/>
          <w:szCs w:val="24"/>
          <w:highlight w:val="none"/>
        </w:rPr>
        <w:t xml:space="preserve">1.</w:t>
      </w:r>
      <w:r>
        <w:rPr>
          <w:rFonts w:hint="eastAsia" w:ascii="Times New Roman" w:hAnsi="Times New Roman"/>
          <w:color w:val="auto"/>
          <w:sz w:val="24"/>
          <w:szCs w:val="24"/>
          <w:highlight w:val="none"/>
          <w:u w:val="single"/>
        </w:rPr>
        <w:t xml:space="preserve">（标的名称）</w:t>
      </w:r>
      <w:r>
        <w:rPr>
          <w:rFonts w:hint="eastAsia" w:ascii="Times New Roman" w:hAnsi="Times New Roman"/>
          <w:i/>
          <w:color w:val="auto"/>
          <w:sz w:val="24"/>
          <w:szCs w:val="24"/>
          <w:highlight w:val="none"/>
        </w:rPr>
        <w:t xml:space="preserve">，</w:t>
      </w:r>
      <w:r>
        <w:rPr>
          <w:rFonts w:hint="eastAsia" w:ascii="Times New Roman" w:hAnsi="Times New Roman"/>
          <w:color w:val="auto"/>
          <w:sz w:val="24"/>
          <w:szCs w:val="24"/>
          <w:highlight w:val="none"/>
        </w:rPr>
        <w:t xml:space="preserve">属于</w:t>
      </w:r>
      <w:r>
        <w:rPr>
          <w:rFonts w:hint="eastAsia" w:ascii="Times New Roman" w:hAnsi="Times New Roman"/>
          <w:color w:val="auto"/>
          <w:sz w:val="24"/>
          <w:szCs w:val="24"/>
          <w:highlight w:val="none"/>
          <w:u w:val="single"/>
        </w:rPr>
        <w:t xml:space="preserve">（投标人填写招标文件中明确的所属行业）</w:t>
      </w:r>
      <w:r>
        <w:rPr>
          <w:rFonts w:hint="eastAsia" w:ascii="Times New Roman" w:hAnsi="Times New Roman"/>
          <w:color w:val="auto"/>
          <w:sz w:val="24"/>
          <w:szCs w:val="24"/>
          <w:highlight w:val="none"/>
        </w:rPr>
        <w:t xml:space="preserve">行业；投标产品制造商为</w:t>
      </w:r>
      <w:r>
        <w:rPr>
          <w:rFonts w:hint="eastAsia" w:ascii="Times New Roman" w:hAnsi="Times New Roman"/>
          <w:color w:val="auto"/>
          <w:sz w:val="24"/>
          <w:szCs w:val="24"/>
          <w:highlight w:val="none"/>
          <w:u w:val="single"/>
        </w:rPr>
        <w:t xml:space="preserve">（企业名称）</w:t>
      </w:r>
      <w:r>
        <w:rPr>
          <w:rFonts w:hint="eastAsia" w:ascii="Times New Roman" w:hAnsi="Times New Roman"/>
          <w:color w:val="auto"/>
          <w:sz w:val="24"/>
          <w:szCs w:val="24"/>
          <w:highlight w:val="none"/>
        </w:rPr>
        <w:t xml:space="preserve">，从业人员</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人，营业收入为</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万元，资产总额为</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万元，属于</w:t>
      </w:r>
      <w:r>
        <w:rPr>
          <w:rFonts w:hint="eastAsia" w:ascii="Times New Roman" w:hAnsi="Times New Roman"/>
          <w:color w:val="auto"/>
          <w:sz w:val="24"/>
          <w:szCs w:val="24"/>
          <w:highlight w:val="none"/>
          <w:u w:val="single"/>
        </w:rPr>
        <w:t xml:space="preserve">（□中型企业 □小型企业 □微型企业）；</w:t>
      </w:r>
      <w:r/>
    </w:p>
    <w:p>
      <w:pPr>
        <w:ind w:firstLine="480"/>
        <w:spacing w:line="480" w:lineRule="exact"/>
        <w:rPr>
          <w:rFonts w:hint="eastAsia" w:ascii="Times New Roman" w:hAnsi="Times New Roman"/>
          <w:i/>
          <w:color w:val="auto"/>
          <w:sz w:val="24"/>
          <w:szCs w:val="24"/>
          <w:highlight w:val="none"/>
          <w:u w:val="single"/>
        </w:rPr>
      </w:pPr>
      <w:r>
        <w:rPr>
          <w:rFonts w:hint="eastAsia" w:ascii="Times New Roman" w:hAnsi="Times New Roman"/>
          <w:color w:val="auto"/>
          <w:sz w:val="24"/>
          <w:szCs w:val="24"/>
          <w:highlight w:val="none"/>
        </w:rPr>
        <w:t xml:space="preserve">2.</w:t>
      </w:r>
      <w:r>
        <w:rPr>
          <w:rFonts w:hint="eastAsia" w:ascii="Times New Roman" w:hAnsi="Times New Roman"/>
          <w:color w:val="auto"/>
          <w:sz w:val="24"/>
          <w:szCs w:val="24"/>
          <w:highlight w:val="none"/>
          <w:u w:val="single"/>
        </w:rPr>
        <w:t xml:space="preserve">（标的名称）</w:t>
      </w:r>
      <w:r>
        <w:rPr>
          <w:rFonts w:hint="eastAsia" w:ascii="Times New Roman" w:hAnsi="Times New Roman"/>
          <w:i/>
          <w:color w:val="auto"/>
          <w:sz w:val="24"/>
          <w:szCs w:val="24"/>
          <w:highlight w:val="none"/>
        </w:rPr>
        <w:t xml:space="preserve">，</w:t>
      </w:r>
      <w:r>
        <w:rPr>
          <w:rFonts w:hint="eastAsia" w:ascii="Times New Roman" w:hAnsi="Times New Roman"/>
          <w:color w:val="auto"/>
          <w:sz w:val="24"/>
          <w:szCs w:val="24"/>
          <w:highlight w:val="none"/>
        </w:rPr>
        <w:t xml:space="preserve">属于</w:t>
      </w:r>
      <w:r>
        <w:rPr>
          <w:rFonts w:hint="eastAsia" w:ascii="Times New Roman" w:hAnsi="Times New Roman"/>
          <w:color w:val="auto"/>
          <w:sz w:val="24"/>
          <w:szCs w:val="24"/>
          <w:highlight w:val="none"/>
          <w:u w:val="single"/>
        </w:rPr>
        <w:t xml:space="preserve">（投标人填写招标文件中明确的所属行业）</w:t>
      </w:r>
      <w:r>
        <w:rPr>
          <w:rFonts w:hint="eastAsia" w:ascii="Times New Roman" w:hAnsi="Times New Roman"/>
          <w:color w:val="auto"/>
          <w:sz w:val="24"/>
          <w:szCs w:val="24"/>
          <w:highlight w:val="none"/>
        </w:rPr>
        <w:t xml:space="preserve">行业；投标产品制造商为</w:t>
      </w:r>
      <w:r>
        <w:rPr>
          <w:rFonts w:hint="eastAsia" w:ascii="Times New Roman" w:hAnsi="Times New Roman"/>
          <w:color w:val="auto"/>
          <w:sz w:val="24"/>
          <w:szCs w:val="24"/>
          <w:highlight w:val="none"/>
          <w:u w:val="single"/>
        </w:rPr>
        <w:t xml:space="preserve">（企业名称）</w:t>
      </w:r>
      <w:r>
        <w:rPr>
          <w:rFonts w:hint="eastAsia" w:ascii="Times New Roman" w:hAnsi="Times New Roman"/>
          <w:color w:val="auto"/>
          <w:sz w:val="24"/>
          <w:szCs w:val="24"/>
          <w:highlight w:val="none"/>
        </w:rPr>
        <w:t xml:space="preserve">，从业人员</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人，营业收入为</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万元，资产总额为</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万元，属于</w:t>
      </w:r>
      <w:r>
        <w:rPr>
          <w:rFonts w:hint="eastAsia" w:ascii="Times New Roman" w:hAnsi="Times New Roman"/>
          <w:color w:val="auto"/>
          <w:sz w:val="24"/>
          <w:szCs w:val="24"/>
          <w:highlight w:val="none"/>
          <w:u w:val="single"/>
        </w:rPr>
        <w:t xml:space="preserve">（□中型企业 □小型企业 □微型企业）；</w:t>
      </w:r>
      <w:r/>
    </w:p>
    <w:p>
      <w:pPr>
        <w:ind w:firstLine="480"/>
        <w:spacing w:line="48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p>
    <w:p>
      <w:pPr>
        <w:ind w:firstLine="480"/>
        <w:spacing w:line="48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本企业对上述声明内容的真实性负责。如有虚假，将依法承担相应责任</w:t>
      </w:r>
      <w:r/>
    </w:p>
    <w:p>
      <w:pPr>
        <w:ind w:right="72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right="180" w:firstLine="360"/>
        <w:jc w:val="right"/>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企业名称（加盖CA电子公章）：</w:t>
      </w:r>
      <w:r/>
    </w:p>
    <w:p>
      <w:pPr>
        <w:ind w:right="180" w:firstLine="360"/>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日  期：</w:t>
      </w:r>
      <w:r/>
    </w:p>
    <w:p>
      <w:pPr>
        <w:ind w:firstLine="480"/>
        <w:spacing w:line="40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备注：1.从业人员、营业收入、资产总额填报上一年度数据，无上一年度数据的新成立企业可不填报。</w:t>
      </w:r>
      <w:r/>
    </w:p>
    <w:p>
      <w:pPr>
        <w:ind w:firstLine="480"/>
        <w:jc w:val="left"/>
        <w:spacing w:line="400" w:lineRule="exact"/>
        <w:rPr>
          <w:rFonts w:hint="eastAsia" w:ascii="Times New Roman" w:hAnsi="Times New Roman"/>
          <w:color w:val="auto"/>
          <w:sz w:val="24"/>
          <w:szCs w:val="24"/>
          <w:highlight w:val="none"/>
          <w:lang w:eastAsia="zh-CN"/>
        </w:rPr>
      </w:pPr>
      <w:r>
        <w:rPr>
          <w:rFonts w:ascii="Times New Roman" w:hAnsi="Times New Roman"/>
          <w:color w:val="auto"/>
          <w:sz w:val="24"/>
          <w:szCs w:val="24"/>
          <w:highlight w:val="none"/>
        </w:rPr>
        <w:t xml:space="preserve">2.符合报价折扣情形的请将此函填报上传至“企业报价折扣证明”一栏中</w:t>
      </w:r>
      <w:r>
        <w:rPr>
          <w:rFonts w:hint="eastAsia" w:ascii="Times New Roman" w:hAnsi="Times New Roman"/>
          <w:color w:val="auto"/>
          <w:sz w:val="24"/>
          <w:szCs w:val="24"/>
          <w:highlight w:val="none"/>
          <w:lang w:eastAsia="zh-CN"/>
        </w:rPr>
        <w:t xml:space="preserve">。</w:t>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3.对照《工业和信息化部、国家统计局、国家发展和改革委员会、财政部关于印发中小企业划型标准规定的通知》(工信部联企业</w:t>
      </w:r>
      <w:r>
        <w:rPr>
          <w:rFonts w:hint="eastAsia" w:ascii="Times New Roman" w:hAnsi="Times New Roman"/>
          <w:color w:val="auto"/>
          <w:sz w:val="24"/>
          <w:szCs w:val="24"/>
          <w:highlight w:val="none"/>
          <w:lang w:eastAsia="zh-CN"/>
        </w:rPr>
        <w:t xml:space="preserve">〔2011〕300号</w:t>
      </w:r>
      <w:r>
        <w:rPr>
          <w:rFonts w:ascii="Times New Roman" w:hAnsi="Times New Roman"/>
          <w:color w:val="auto"/>
          <w:sz w:val="24"/>
          <w:szCs w:val="24"/>
          <w:highlight w:val="none"/>
        </w:rPr>
        <w:t xml:space="preserve">)的规定，</w:t>
      </w:r>
      <w:r>
        <w:rPr>
          <w:rFonts w:hint="eastAsia" w:ascii="Times New Roman" w:hAnsi="Times New Roman"/>
          <w:color w:val="auto"/>
          <w:sz w:val="24"/>
          <w:szCs w:val="24"/>
          <w:highlight w:val="none"/>
        </w:rPr>
        <w:t xml:space="preserve">投标人</w:t>
      </w:r>
      <w:r>
        <w:rPr>
          <w:rFonts w:ascii="Times New Roman" w:hAnsi="Times New Roman"/>
          <w:color w:val="auto"/>
          <w:sz w:val="24"/>
          <w:szCs w:val="24"/>
          <w:highlight w:val="none"/>
        </w:rPr>
        <w:t xml:space="preserve">自行勾选制造商的企业规模类型。</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pStyle w:val="1009"/>
        <w:jc w:val="center"/>
        <w:rPr>
          <w:rFonts w:ascii="方正小标宋_GBK" w:eastAsia="方正小标宋_GBK"/>
          <w:bCs/>
          <w:color w:val="auto"/>
          <w:sz w:val="32"/>
          <w:szCs w:val="32"/>
          <w:highlight w:val="none"/>
        </w:rPr>
      </w:pPr>
      <w:r>
        <w:rPr>
          <w:rFonts w:ascii="宋体" w:hAnsi="宋体"/>
          <w:color w:val="auto"/>
          <w:sz w:val="24"/>
          <w:szCs w:val="24"/>
          <w:highlight w:val="none"/>
        </w:rPr>
        <w:br w:type="page" w:clear="all"/>
      </w:r>
      <w:r>
        <w:rPr>
          <w:rFonts w:hint="eastAsia" w:ascii="方正小标宋_GBK" w:eastAsia="方正小标宋_GBK"/>
          <w:bCs/>
          <w:color w:val="auto"/>
          <w:sz w:val="32"/>
          <w:szCs w:val="32"/>
          <w:highlight w:val="none"/>
        </w:rPr>
        <w:t xml:space="preserve">残疾人福利性单位声明函</w:t>
      </w:r>
      <w:r/>
    </w:p>
    <w:p>
      <w:pPr>
        <w:pStyle w:val="1027"/>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pStyle w:val="1026"/>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本单位郑重声明，根据《财政部 民政部 中国残疾人联合会关于促进残疾人就业政府采购政策的通知》（财库〔</w:t>
      </w:r>
      <w:r>
        <w:rPr>
          <w:rFonts w:ascii="Times New Roman" w:hAnsi="Times New Roman"/>
          <w:color w:val="auto"/>
          <w:sz w:val="24"/>
          <w:highlight w:val="none"/>
        </w:rPr>
        <w:t xml:space="preserve">2017</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141</w:t>
      </w:r>
      <w:r>
        <w:rPr>
          <w:rFonts w:hint="eastAsia" w:ascii="Times New Roman" w:hAnsi="Times New Roman"/>
          <w:color w:val="auto"/>
          <w:sz w:val="24"/>
          <w:highlight w:val="none"/>
        </w:rPr>
        <w:t xml:space="preserve">号）的规定，本单位为符合条件的残疾人福利性单位，且本单位参加</w:t>
      </w:r>
      <w:r>
        <w:rPr>
          <w:rFonts w:hint="eastAsia" w:ascii="Times New Roman" w:hAnsi="Times New Roman"/>
          <w:color w:val="auto"/>
          <w:sz w:val="24"/>
          <w:highlight w:val="none"/>
          <w:u w:val="single"/>
        </w:rPr>
        <w:t xml:space="preserve">（</w:t>
      </w:r>
      <w:r>
        <w:rPr>
          <w:rFonts w:hint="eastAsia" w:ascii="Times New Roman" w:hAnsi="Times New Roman"/>
          <w:color w:val="auto"/>
          <w:sz w:val="24"/>
          <w:szCs w:val="24"/>
          <w:highlight w:val="none"/>
          <w:u w:val="single"/>
        </w:rPr>
        <w:t xml:space="preserve">单位名称）</w:t>
      </w:r>
      <w:r>
        <w:rPr>
          <w:rFonts w:hint="eastAsia" w:ascii="Times New Roman" w:hAnsi="Times New Roman"/>
          <w:color w:val="auto"/>
          <w:sz w:val="24"/>
          <w:highlight w:val="none"/>
        </w:rPr>
        <w:t xml:space="preserve">的</w:t>
      </w:r>
      <w:r>
        <w:rPr>
          <w:rFonts w:hint="eastAsia" w:ascii="Times New Roman" w:hAnsi="Times New Roman"/>
          <w:color w:val="auto"/>
          <w:sz w:val="24"/>
          <w:highlight w:val="none"/>
          <w:u w:val="single"/>
        </w:rPr>
        <w:t xml:space="preserve">（项目名称） </w:t>
      </w:r>
      <w:r>
        <w:rPr>
          <w:rFonts w:hint="eastAsia" w:ascii="Times New Roman" w:hAnsi="Times New Roman"/>
          <w:color w:val="auto"/>
          <w:sz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1026"/>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本单位对上述声明的真实性负责。如有虚假，将依法承担相应责任。</w:t>
      </w:r>
      <w:r/>
    </w:p>
    <w:p>
      <w:pPr>
        <w:pStyle w:val="1028"/>
        <w:ind w:firstLine="3810"/>
        <w:spacing w:line="500" w:lineRule="exact"/>
        <w:rPr>
          <w:color w:val="auto"/>
          <w:spacing w:val="6"/>
          <w:sz w:val="24"/>
          <w:szCs w:val="24"/>
          <w:highlight w:val="none"/>
        </w:rPr>
      </w:pPr>
      <w:r>
        <w:rPr>
          <w:color w:val="auto"/>
          <w:spacing w:val="6"/>
          <w:sz w:val="24"/>
          <w:szCs w:val="24"/>
          <w:highlight w:val="none"/>
        </w:rPr>
      </w:r>
      <w:r/>
    </w:p>
    <w:p>
      <w:pPr>
        <w:pStyle w:val="1028"/>
        <w:ind w:firstLine="3629"/>
        <w:jc w:val="left"/>
        <w:spacing w:line="500" w:lineRule="exact"/>
        <w:rPr>
          <w:color w:val="auto"/>
          <w:sz w:val="24"/>
          <w:highlight w:val="none"/>
        </w:rPr>
      </w:pPr>
      <w:r>
        <w:rPr>
          <w:color w:val="auto"/>
          <w:sz w:val="24"/>
          <w:highlight w:val="none"/>
        </w:rPr>
      </w:r>
      <w:r/>
    </w:p>
    <w:p>
      <w:pPr>
        <w:pStyle w:val="1028"/>
        <w:ind w:firstLine="480"/>
        <w:jc w:val="left"/>
        <w:spacing w:line="500" w:lineRule="exact"/>
        <w:rPr>
          <w:color w:val="auto"/>
          <w:sz w:val="24"/>
          <w:highlight w:val="none"/>
        </w:rPr>
      </w:pPr>
      <w:r>
        <w:rPr>
          <w:rFonts w:hint="eastAsia"/>
          <w:color w:val="auto"/>
          <w:sz w:val="24"/>
          <w:highlight w:val="none"/>
        </w:rPr>
        <w:t xml:space="preserve">单位名称：</w:t>
      </w:r>
      <w:r>
        <w:rPr>
          <w:rFonts w:hint="eastAsia"/>
          <w:color w:val="auto"/>
          <w:sz w:val="24"/>
          <w:highlight w:val="none"/>
          <w:u w:val="single"/>
        </w:rPr>
        <w:t xml:space="preserve">              </w:t>
      </w:r>
      <w:r>
        <w:rPr>
          <w:rFonts w:hint="eastAsia"/>
          <w:color w:val="auto"/>
          <w:sz w:val="24"/>
          <w:highlight w:val="none"/>
        </w:rPr>
        <w:t xml:space="preserve">（</w:t>
      </w:r>
      <w:r>
        <w:rPr>
          <w:rFonts w:hint="eastAsia"/>
          <w:color w:val="auto"/>
          <w:sz w:val="24"/>
          <w:szCs w:val="24"/>
          <w:highlight w:val="none"/>
        </w:rPr>
        <w:t xml:space="preserve">盖CA电子公章</w:t>
      </w:r>
      <w:r>
        <w:rPr>
          <w:rFonts w:hint="eastAsia"/>
          <w:color w:val="auto"/>
          <w:sz w:val="24"/>
          <w:highlight w:val="none"/>
        </w:rPr>
        <w:t xml:space="preserve">）</w:t>
      </w:r>
      <w:r/>
    </w:p>
    <w:p>
      <w:pPr>
        <w:pStyle w:val="1025"/>
        <w:ind w:firstLine="480"/>
        <w:jc w:val="left"/>
        <w:spacing w:line="500" w:lineRule="exact"/>
        <w:rPr>
          <w:rFonts w:ascii="Times New Roman" w:hAnsi="Times New Roman"/>
          <w:color w:val="auto"/>
          <w:sz w:val="24"/>
          <w:szCs w:val="20"/>
          <w:highlight w:val="none"/>
        </w:rPr>
      </w:pPr>
      <w:r>
        <w:rPr>
          <w:rFonts w:hint="eastAsia" w:ascii="Times New Roman" w:hAnsi="Times New Roman"/>
          <w:color w:val="auto"/>
          <w:sz w:val="24"/>
          <w:szCs w:val="20"/>
          <w:highlight w:val="none"/>
        </w:rPr>
        <w:t xml:space="preserve">日期：  年  月  日</w:t>
      </w:r>
      <w:r/>
    </w:p>
    <w:p>
      <w:pPr>
        <w:pStyle w:val="1027"/>
        <w:ind w:right="1560" w:firstLine="480"/>
        <w:jc w:val="center"/>
        <w:spacing w:line="588" w:lineRule="exact"/>
        <w:tabs>
          <w:tab w:val="left" w:pos="4860" w:leader="none"/>
        </w:tabs>
        <w:rPr>
          <w:rFonts w:ascii="Times New Roman" w:hAnsi="Times New Roman" w:cs="Arial"/>
          <w:color w:val="auto"/>
          <w:sz w:val="24"/>
          <w:szCs w:val="24"/>
          <w:highlight w:val="none"/>
        </w:rPr>
      </w:pPr>
      <w:r>
        <w:rPr>
          <w:rFonts w:ascii="Times New Roman" w:hAnsi="Times New Roman" w:cs="Arial"/>
          <w:color w:val="auto"/>
          <w:sz w:val="24"/>
          <w:szCs w:val="24"/>
          <w:highlight w:val="none"/>
        </w:rPr>
      </w:r>
      <w:r/>
    </w:p>
    <w:p>
      <w:pPr>
        <w:pStyle w:val="1029"/>
        <w:ind w:left="357" w:firstLine="0"/>
        <w:spacing w:line="500" w:lineRule="exact"/>
        <w:rPr>
          <w:rFonts w:ascii="Times New Roman" w:hAnsi="Times New Roman" w:cs="Arial"/>
          <w:color w:val="auto"/>
          <w:sz w:val="24"/>
          <w:szCs w:val="24"/>
          <w:highlight w:val="none"/>
        </w:rPr>
      </w:pPr>
      <w:r>
        <w:rPr>
          <w:rFonts w:ascii="Times New Roman" w:hAnsi="Times New Roman" w:cs="Arial"/>
          <w:color w:val="auto"/>
          <w:sz w:val="24"/>
          <w:szCs w:val="24"/>
          <w:highlight w:val="none"/>
        </w:rPr>
      </w:r>
      <w:r/>
    </w:p>
    <w:p>
      <w:pPr>
        <w:pStyle w:val="1026"/>
        <w:ind w:firstLine="442"/>
        <w:spacing w:line="48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备注：1.非残疾人福利性单位不需提供此函。</w:t>
      </w:r>
      <w:r/>
    </w:p>
    <w:p>
      <w:pPr>
        <w:pStyle w:val="1026"/>
        <w:ind w:firstLine="442"/>
        <w:spacing w:line="48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2.符合报价折扣情形的请将此函填报上传至“企业报价折扣证明”一栏中。</w:t>
      </w:r>
      <w:r/>
    </w:p>
    <w:p>
      <w:pPr>
        <w:pStyle w:val="1026"/>
        <w:ind w:firstLine="442"/>
        <w:spacing w:line="48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pStyle w:val="1026"/>
        <w:ind w:firstLine="442"/>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026"/>
        <w:ind w:firstLine="442"/>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026"/>
        <w:ind w:firstLine="442"/>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026"/>
        <w:ind w:firstLine="442"/>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026"/>
        <w:spacing w:line="48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pStyle w:val="1026"/>
        <w:ind w:firstLine="442"/>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026"/>
        <w:ind w:firstLine="442"/>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026"/>
        <w:ind w:firstLine="442"/>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026"/>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026"/>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026"/>
        <w:spacing w:line="48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pStyle w:val="1009"/>
        <w:jc w:val="both"/>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t xml:space="preserve">七、项目组人员</w:t>
      </w:r>
      <w:r/>
    </w:p>
    <w:tbl>
      <w:tblPr>
        <w:tblStyle w:val="673"/>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0"/>
        <w:gridCol w:w="1807"/>
        <w:gridCol w:w="972"/>
        <w:gridCol w:w="1945"/>
        <w:gridCol w:w="1669"/>
        <w:gridCol w:w="943"/>
      </w:tblGrid>
      <w:tr>
        <w:trPr>
          <w:trHeight w:val="1333"/>
        </w:trPr>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1009"/>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pStyle w:val="1009"/>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t xml:space="preserve">职务</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1009"/>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t xml:space="preserve">学历</w:t>
            </w:r>
            <w:r/>
          </w:p>
        </w:tc>
        <w:tc>
          <w:tcPr>
            <w:tcBorders>
              <w:top w:val="single" w:color="000000" w:sz="4" w:space="0"/>
              <w:left w:val="single" w:color="000000" w:sz="4" w:space="0"/>
              <w:bottom w:val="single" w:color="000000" w:sz="4" w:space="0"/>
              <w:right w:val="single" w:color="000000" w:sz="4" w:space="0"/>
            </w:tcBorders>
            <w:tcW w:w="1945" w:type="dxa"/>
            <w:vAlign w:val="center"/>
            <w:textDirection w:val="lrTb"/>
            <w:noWrap/>
          </w:tcPr>
          <w:p>
            <w:pPr>
              <w:pStyle w:val="1009"/>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t xml:space="preserve">身份证号</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pStyle w:val="1009"/>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t xml:space="preserve">相关证书</w:t>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1009"/>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t xml:space="preserve">备注</w:t>
            </w:r>
            <w:r/>
          </w:p>
        </w:tc>
      </w:tr>
      <w:tr>
        <w:trPr>
          <w:trHeight w:val="1164"/>
        </w:trPr>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1009"/>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pStyle w:val="1009"/>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1009"/>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1945" w:type="dxa"/>
            <w:vAlign w:val="center"/>
            <w:textDirection w:val="lrTb"/>
            <w:noWrap/>
          </w:tcPr>
          <w:p>
            <w:pPr>
              <w:pStyle w:val="1009"/>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pStyle w:val="1009"/>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1009"/>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r>
      <w:tr>
        <w:trPr>
          <w:trHeight w:val="1164"/>
        </w:trPr>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1009"/>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pStyle w:val="1009"/>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1009"/>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1945" w:type="dxa"/>
            <w:vAlign w:val="center"/>
            <w:textDirection w:val="lrTb"/>
            <w:noWrap/>
          </w:tcPr>
          <w:p>
            <w:pPr>
              <w:pStyle w:val="1009"/>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pStyle w:val="1009"/>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1009"/>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r>
      <w:tr>
        <w:trPr>
          <w:trHeight w:val="1164"/>
        </w:trPr>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1009"/>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pStyle w:val="1009"/>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1009"/>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1945" w:type="dxa"/>
            <w:vAlign w:val="center"/>
            <w:textDirection w:val="lrTb"/>
            <w:noWrap/>
          </w:tcPr>
          <w:p>
            <w:pPr>
              <w:pStyle w:val="1009"/>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pStyle w:val="1009"/>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1009"/>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r>
      <w:tr>
        <w:trPr>
          <w:trHeight w:val="1164"/>
        </w:trPr>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1009"/>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pStyle w:val="1009"/>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1009"/>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1945" w:type="dxa"/>
            <w:vAlign w:val="center"/>
            <w:textDirection w:val="lrTb"/>
            <w:noWrap/>
          </w:tcPr>
          <w:p>
            <w:pPr>
              <w:pStyle w:val="1009"/>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pStyle w:val="1009"/>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1009"/>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r>
      <w:tr>
        <w:trPr>
          <w:trHeight w:val="1164"/>
        </w:trPr>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1009"/>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pStyle w:val="1009"/>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1009"/>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1945" w:type="dxa"/>
            <w:vAlign w:val="center"/>
            <w:textDirection w:val="lrTb"/>
            <w:noWrap/>
          </w:tcPr>
          <w:p>
            <w:pPr>
              <w:pStyle w:val="1009"/>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pStyle w:val="1009"/>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1009"/>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r>
      <w:tr>
        <w:trPr>
          <w:trHeight w:val="1164"/>
        </w:trPr>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1009"/>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pStyle w:val="1009"/>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1009"/>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1945" w:type="dxa"/>
            <w:vAlign w:val="center"/>
            <w:textDirection w:val="lrTb"/>
            <w:noWrap/>
          </w:tcPr>
          <w:p>
            <w:pPr>
              <w:pStyle w:val="1009"/>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pStyle w:val="1009"/>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1009"/>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r>
      <w:tr>
        <w:trPr>
          <w:trHeight w:val="1164"/>
        </w:trPr>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1009"/>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pStyle w:val="1009"/>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1009"/>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1945" w:type="dxa"/>
            <w:vAlign w:val="center"/>
            <w:textDirection w:val="lrTb"/>
            <w:noWrap/>
          </w:tcPr>
          <w:p>
            <w:pPr>
              <w:pStyle w:val="1009"/>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pStyle w:val="1009"/>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1009"/>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r>
      <w:tr>
        <w:trPr>
          <w:trHeight w:val="1180"/>
        </w:trPr>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1009"/>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pStyle w:val="1009"/>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1009"/>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1945" w:type="dxa"/>
            <w:vAlign w:val="center"/>
            <w:textDirection w:val="lrTb"/>
            <w:noWrap/>
          </w:tcPr>
          <w:p>
            <w:pPr>
              <w:pStyle w:val="1009"/>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pStyle w:val="1009"/>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1009"/>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tc>
      </w:tr>
    </w:tbl>
    <w:p>
      <w:pPr>
        <w:pStyle w:val="1009"/>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t xml:space="preserve">注：如投标人中标，项目组成员按本表承诺人员操作，不得随意更换。按采购文件要求附相关人员证书。</w:t>
      </w:r>
      <w:bookmarkStart w:id="164" w:name="_格式2__法定代表人授权书"/>
      <w:r/>
      <w:bookmarkEnd w:id="164"/>
      <w:r/>
      <w:r/>
    </w:p>
    <w:p>
      <w:pPr>
        <w:pStyle w:val="1009"/>
        <w:jc w:val="center"/>
        <w:rPr>
          <w:rFonts w:hint="eastAsia"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r>
      <w:r/>
    </w:p>
    <w:p>
      <w:pPr>
        <w:pStyle w:val="716"/>
        <w:spacing w:before="0" w:after="0" w:line="520" w:lineRule="exact"/>
        <w:rPr>
          <w:rFonts w:hint="eastAsia" w:ascii="宋体" w:hAnsi="宋体" w:eastAsia="宋体" w:cs="宋体"/>
          <w:bCs/>
          <w:color w:val="auto"/>
          <w:szCs w:val="32"/>
          <w:highlight w:val="none"/>
        </w:rPr>
      </w:pPr>
      <w:r>
        <w:rPr>
          <w:rFonts w:hint="eastAsia" w:ascii="宋体" w:hAnsi="宋体" w:eastAsia="宋体" w:cs="宋体"/>
          <w:bCs/>
          <w:color w:val="auto"/>
          <w:szCs w:val="32"/>
          <w:highlight w:val="none"/>
          <w:lang w:val="en-US" w:eastAsia="zh-CN"/>
        </w:rPr>
        <w:t xml:space="preserve">八</w:t>
      </w:r>
      <w:r>
        <w:rPr>
          <w:rFonts w:hint="eastAsia" w:ascii="宋体" w:hAnsi="宋体" w:eastAsia="宋体" w:cs="宋体"/>
          <w:bCs/>
          <w:color w:val="auto"/>
          <w:szCs w:val="32"/>
          <w:highlight w:val="none"/>
        </w:rPr>
        <w:t xml:space="preserve">、技术响应偏离表（技术参数响应）</w:t>
      </w:r>
      <w:r/>
    </w:p>
    <w:tbl>
      <w:tblPr>
        <w:tblStyle w:val="673"/>
        <w:tblW w:w="0" w:type="auto"/>
        <w:tblInd w:w="-225"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ascii="宋体" w:hAnsi="宋体" w:cs="仿宋"/>
                <w:color w:val="auto"/>
                <w:highlight w:val="none"/>
              </w:rPr>
            </w:pPr>
            <w:r>
              <w:rPr>
                <w:rFonts w:hint="eastAsia" w:ascii="宋体" w:hAnsi="宋体" w:cs="仿宋"/>
                <w:color w:val="auto"/>
                <w:sz w:val="28"/>
                <w:highlight w:val="none"/>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ascii="宋体" w:hAnsi="宋体" w:cs="仿宋"/>
                <w:color w:val="auto"/>
                <w:highlight w:val="none"/>
              </w:rPr>
            </w:pPr>
            <w:r>
              <w:rPr>
                <w:rFonts w:hint="eastAsia" w:ascii="宋体" w:hAnsi="宋体" w:cs="仿宋"/>
                <w:color w:val="auto"/>
                <w:sz w:val="28"/>
                <w:highlight w:val="none"/>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ascii="宋体" w:hAnsi="宋体" w:cs="仿宋"/>
                <w:color w:val="auto"/>
                <w:sz w:val="28"/>
                <w:highlight w:val="none"/>
              </w:rPr>
            </w:pPr>
            <w:r>
              <w:rPr>
                <w:rFonts w:hint="eastAsia" w:ascii="宋体" w:hAnsi="宋体" w:cs="仿宋"/>
                <w:color w:val="auto"/>
                <w:sz w:val="28"/>
                <w:highlight w:val="none"/>
              </w:rPr>
              <w:t xml:space="preserve">偏离情况</w:t>
            </w:r>
            <w:r/>
          </w:p>
          <w:p>
            <w:pPr>
              <w:jc w:val="center"/>
              <w:spacing w:before="100" w:line="400" w:lineRule="exact"/>
              <w:rPr>
                <w:rFonts w:hint="eastAsia" w:ascii="宋体" w:hAnsi="宋体" w:cs="仿宋"/>
                <w:color w:val="auto"/>
                <w:sz w:val="28"/>
                <w:highlight w:val="none"/>
              </w:rPr>
            </w:pPr>
            <w:r>
              <w:rPr>
                <w:rFonts w:hint="eastAsia" w:ascii="宋体" w:hAnsi="宋体" w:cs="仿宋"/>
                <w:color w:val="auto"/>
                <w:sz w:val="28"/>
                <w:highlight w:val="none"/>
              </w:rPr>
              <w:t xml:space="preserve">（</w:t>
            </w:r>
            <w:r>
              <w:rPr>
                <w:rFonts w:ascii="宋体" w:hAnsi="宋体" w:cs="仿宋"/>
                <w:b/>
                <w:color w:val="auto"/>
                <w:sz w:val="24"/>
                <w:highlight w:val="none"/>
              </w:rPr>
              <w:t xml:space="preserve">正偏离、负偏离、无偏离</w:t>
            </w:r>
            <w:r>
              <w:rPr>
                <w:rFonts w:hint="eastAsia" w:ascii="宋体" w:hAnsi="宋体" w:cs="仿宋"/>
                <w:color w:val="auto"/>
                <w:sz w:val="28"/>
                <w:highlight w:val="none"/>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宋体" w:hAnsi="宋体" w:cs="仿宋"/>
                <w:color w:val="auto"/>
                <w:sz w:val="28"/>
                <w:szCs w:val="28"/>
                <w:highlight w:val="none"/>
              </w:rPr>
            </w:pPr>
            <w:r>
              <w:rPr>
                <w:rFonts w:hint="eastAsia" w:ascii="宋体" w:hAnsi="宋体" w:cs="仿宋"/>
                <w:color w:val="auto"/>
                <w:sz w:val="28"/>
                <w:highlight w:val="none"/>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bl>
    <w:p>
      <w:pPr>
        <w:jc w:val="right"/>
        <w:spacing w:line="559" w:lineRule="atLeast"/>
        <w:rPr>
          <w:rFonts w:ascii="宋体" w:hAnsi="宋体" w:cs="仿宋"/>
          <w:color w:val="auto"/>
          <w:highlight w:val="none"/>
        </w:rPr>
      </w:pPr>
      <w:r>
        <w:rPr>
          <w:rFonts w:hint="eastAsia" w:ascii="宋体" w:hAnsi="宋体" w:cs="仿宋"/>
          <w:color w:val="auto"/>
          <w:sz w:val="24"/>
          <w:highlight w:val="none"/>
        </w:rPr>
        <w:t xml:space="preserve">单位名称：</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w:t>
      </w:r>
      <w:r>
        <w:rPr>
          <w:rFonts w:ascii="宋体" w:hAnsi="宋体" w:cs="仿宋"/>
          <w:color w:val="auto"/>
          <w:sz w:val="24"/>
          <w:highlight w:val="none"/>
        </w:rPr>
        <w:t xml:space="preserve">盖</w:t>
      </w:r>
      <w:r>
        <w:rPr>
          <w:rFonts w:hint="eastAsia" w:ascii="宋体" w:hAnsi="宋体" w:cs="仿宋"/>
          <w:color w:val="auto"/>
          <w:sz w:val="24"/>
          <w:highlight w:val="none"/>
        </w:rPr>
        <w:t xml:space="preserve">CA</w:t>
      </w:r>
      <w:r>
        <w:rPr>
          <w:rFonts w:ascii="宋体" w:hAnsi="宋体" w:cs="仿宋"/>
          <w:color w:val="auto"/>
          <w:sz w:val="24"/>
          <w:highlight w:val="none"/>
        </w:rPr>
        <w:t xml:space="preserve">电子公章）</w:t>
      </w:r>
      <w:r/>
    </w:p>
    <w:p>
      <w:pPr>
        <w:pStyle w:val="791"/>
        <w:ind w:firstLine="482"/>
        <w:jc w:val="both"/>
        <w:spacing w:before="0" w:beforeAutospacing="0" w:after="0" w:afterAutospacing="0" w:line="400" w:lineRule="exact"/>
        <w:widowControl w:val="off"/>
        <w:rPr>
          <w:rFonts w:cs="仿宋"/>
          <w:b/>
          <w:bCs/>
          <w:color w:val="auto"/>
          <w:szCs w:val="28"/>
          <w:highlight w:val="none"/>
        </w:rPr>
      </w:pPr>
      <w:r>
        <w:rPr>
          <w:rFonts w:cs="仿宋"/>
          <w:b/>
          <w:bCs/>
          <w:color w:val="auto"/>
          <w:szCs w:val="28"/>
          <w:highlight w:val="none"/>
        </w:rPr>
      </w:r>
      <w:r/>
    </w:p>
    <w:p>
      <w:pPr>
        <w:pStyle w:val="791"/>
        <w:ind w:firstLine="482"/>
        <w:jc w:val="both"/>
        <w:spacing w:before="0" w:beforeAutospacing="0" w:after="0" w:afterAutospacing="0" w:line="400" w:lineRule="exact"/>
        <w:widowControl w:val="off"/>
        <w:rPr>
          <w:rFonts w:ascii="Times New Roman" w:hAnsi="Times New Roman"/>
          <w:b/>
          <w:bCs/>
          <w:color w:val="auto"/>
          <w:szCs w:val="20"/>
          <w:highlight w:val="none"/>
        </w:rPr>
      </w:pPr>
      <w:r>
        <w:rPr>
          <w:rFonts w:hint="eastAsia" w:ascii="Times New Roman" w:hAnsi="Times New Roman" w:cs="仿宋"/>
          <w:b/>
          <w:bCs/>
          <w:color w:val="auto"/>
          <w:szCs w:val="28"/>
          <w:highlight w:val="none"/>
        </w:rPr>
        <w:t xml:space="preserve">备注：</w:t>
      </w:r>
      <w:r>
        <w:rPr>
          <w:rFonts w:hint="eastAsia" w:ascii="Times New Roman" w:hAnsi="Times New Roman" w:cs="仿宋"/>
          <w:color w:val="auto"/>
          <w:szCs w:val="28"/>
          <w:highlight w:val="none"/>
        </w:rPr>
        <w:t xml:space="preserve">1</w:t>
      </w:r>
      <w:bookmarkStart w:id="165" w:name="_Hlk187934629"/>
      <w:r>
        <w:rPr>
          <w:rFonts w:hint="eastAsia" w:ascii="Times New Roman" w:hAnsi="Times New Roman" w:cs="仿宋"/>
          <w:color w:val="auto"/>
          <w:szCs w:val="28"/>
          <w:highlight w:val="none"/>
        </w:rPr>
        <w:t xml:space="preserve">.</w:t>
      </w:r>
      <w:r>
        <w:rPr>
          <w:rFonts w:hint="eastAsia" w:ascii="Times New Roman" w:hAnsi="Times New Roman"/>
          <w:color w:val="auto"/>
          <w:szCs w:val="20"/>
          <w:highlight w:val="none"/>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auto"/>
          <w:szCs w:val="20"/>
          <w:highlight w:val="none"/>
        </w:rPr>
        <w:t xml:space="preserve">作无效响应处理。</w:t>
      </w:r>
      <w:r/>
    </w:p>
    <w:p>
      <w:pPr>
        <w:pStyle w:val="791"/>
        <w:ind w:firstLine="480"/>
        <w:jc w:val="both"/>
        <w:spacing w:before="0" w:beforeAutospacing="0" w:after="0" w:afterAutospacing="0" w:line="400" w:lineRule="exact"/>
        <w:widowControl w:val="off"/>
        <w:rPr>
          <w:rFonts w:ascii="Times New Roman" w:hAnsi="Times New Roman"/>
          <w:color w:val="auto"/>
          <w:szCs w:val="20"/>
          <w:highlight w:val="none"/>
        </w:rPr>
      </w:pPr>
      <w:r>
        <w:rPr>
          <w:rFonts w:hint="eastAsia" w:ascii="Times New Roman" w:hAnsi="Times New Roman" w:cs="仿宋"/>
          <w:color w:val="auto"/>
          <w:szCs w:val="28"/>
          <w:highlight w:val="none"/>
        </w:rPr>
        <w:t xml:space="preserve">2.对采购需求的其它非实质性要求，投标人按所投产品情况</w:t>
      </w:r>
      <w:r>
        <w:rPr>
          <w:rFonts w:ascii="Times New Roman" w:hAnsi="Times New Roman" w:cs="仿宋"/>
          <w:color w:val="auto"/>
          <w:szCs w:val="28"/>
          <w:highlight w:val="none"/>
        </w:rPr>
        <w:t xml:space="preserve">在此表中详细列出偏离情况（包括正偏离、负偏离、无偏离）并说明理由</w:t>
      </w:r>
      <w:r>
        <w:rPr>
          <w:rFonts w:hint="eastAsia" w:ascii="Times New Roman" w:hAnsi="Times New Roman" w:cs="仿宋"/>
          <w:color w:val="auto"/>
          <w:szCs w:val="28"/>
          <w:highlight w:val="none"/>
        </w:rPr>
        <w:t xml:space="preserve">；未列明的均视为未响应招标文件要求</w:t>
      </w:r>
      <w:r>
        <w:rPr>
          <w:rFonts w:ascii="Times New Roman" w:hAnsi="Times New Roman" w:cs="仿宋"/>
          <w:color w:val="auto"/>
          <w:szCs w:val="28"/>
          <w:highlight w:val="none"/>
        </w:rPr>
        <w:t xml:space="preserve">。</w:t>
      </w:r>
      <w:bookmarkEnd w:id="165"/>
      <w:r/>
      <w:r/>
    </w:p>
    <w:p>
      <w:pPr>
        <w:spacing w:line="400" w:lineRule="exact"/>
        <w:rPr>
          <w:rFonts w:hint="eastAsia" w:ascii="Times New Roman" w:hAnsi="Times New Roman"/>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auto"/>
          <w:sz w:val="24"/>
          <w:szCs w:val="21"/>
          <w:highlight w:val="none"/>
        </w:rPr>
      </w:r>
      <w:r/>
    </w:p>
    <w:p>
      <w:pPr>
        <w:rPr>
          <w:rFonts w:hint="eastAsia" w:ascii="宋体" w:hAnsi="宋体" w:eastAsia="宋体" w:cs="宋体"/>
          <w:color w:val="auto"/>
          <w:highlight w:val="none"/>
        </w:rPr>
      </w:pPr>
      <w:r>
        <w:rPr>
          <w:rFonts w:hint="eastAsia" w:ascii="宋体" w:hAnsi="宋体" w:eastAsia="宋体" w:cs="宋体"/>
          <w:bCs/>
          <w:color w:val="auto"/>
          <w:highlight w:val="none"/>
        </w:rPr>
        <w:br w:type="page" w:clear="all"/>
      </w:r>
      <w:r/>
    </w:p>
    <w:p>
      <w:pPr>
        <w:pStyle w:val="1043"/>
        <w:ind w:left="210"/>
        <w:rPr>
          <w:rFonts w:hint="eastAsia" w:ascii="宋体"/>
          <w:b w:val="0"/>
          <w:color w:val="auto"/>
          <w:szCs w:val="32"/>
          <w:highlight w:val="none"/>
        </w:rPr>
        <w:outlineLvl w:val="1"/>
      </w:pPr>
      <w:r/>
      <w:bookmarkStart w:id="166" w:name="_Toc25337"/>
      <w:r/>
      <w:bookmarkStart w:id="167" w:name="_Toc15871"/>
      <w:r>
        <w:rPr>
          <w:rFonts w:hint="eastAsia" w:ascii="宋体"/>
          <w:b w:val="0"/>
          <w:color w:val="auto"/>
          <w:szCs w:val="32"/>
          <w:highlight w:val="none"/>
          <w:lang w:val="en-US" w:eastAsia="zh-CN"/>
        </w:rPr>
        <w:t xml:space="preserve">九</w:t>
      </w:r>
      <w:r>
        <w:rPr>
          <w:rFonts w:hint="eastAsia" w:ascii="宋体"/>
          <w:b w:val="0"/>
          <w:color w:val="auto"/>
          <w:szCs w:val="32"/>
          <w:highlight w:val="none"/>
        </w:rPr>
        <w:t xml:space="preserve">、企业业绩</w:t>
      </w:r>
      <w:bookmarkEnd w:id="166"/>
      <w:r/>
      <w:bookmarkEnd w:id="167"/>
      <w:r/>
      <w:r/>
    </w:p>
    <w:p>
      <w:pPr>
        <w:pStyle w:val="1051"/>
        <w:jc w:val="center"/>
        <w:rPr>
          <w:rFonts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投标人</w:t>
      </w:r>
      <w:bookmarkStart w:id="168" w:name="_Hlk187935031"/>
      <w:r>
        <w:rPr>
          <w:rFonts w:hint="eastAsia" w:ascii="方正小标宋_GBK" w:eastAsia="方正小标宋_GBK"/>
          <w:bCs/>
          <w:color w:val="auto"/>
          <w:sz w:val="32"/>
          <w:szCs w:val="32"/>
          <w:highlight w:val="none"/>
        </w:rPr>
        <w:t xml:space="preserve">自</w:t>
      </w:r>
      <w:r>
        <w:rPr>
          <w:rFonts w:hint="eastAsia" w:ascii="方正小标宋_GBK" w:eastAsia="方正小标宋_GBK"/>
          <w:bCs/>
          <w:color w:val="auto"/>
          <w:sz w:val="32"/>
          <w:szCs w:val="32"/>
          <w:highlight w:val="none"/>
          <w:u w:val="single"/>
          <w:lang w:val="en-US" w:eastAsia="zh-CN"/>
        </w:rPr>
        <w:t xml:space="preserve">   </w:t>
      </w:r>
      <w:r>
        <w:rPr>
          <w:rFonts w:hint="eastAsia" w:ascii="方正小标宋_GBK" w:eastAsia="方正小标宋_GBK"/>
          <w:bCs/>
          <w:color w:val="auto"/>
          <w:sz w:val="32"/>
          <w:szCs w:val="32"/>
          <w:highlight w:val="none"/>
        </w:rPr>
        <w:t xml:space="preserve">年</w:t>
      </w:r>
      <w:r>
        <w:rPr>
          <w:rFonts w:hint="eastAsia" w:ascii="方正小标宋_GBK" w:eastAsia="方正小标宋_GBK"/>
          <w:bCs/>
          <w:color w:val="auto"/>
          <w:sz w:val="32"/>
          <w:szCs w:val="32"/>
          <w:highlight w:val="none"/>
          <w:u w:val="single"/>
          <w:lang w:val="en-US" w:eastAsia="zh-CN"/>
        </w:rPr>
        <w:t xml:space="preserve">   </w:t>
      </w:r>
      <w:r>
        <w:rPr>
          <w:rFonts w:hint="eastAsia" w:ascii="方正小标宋_GBK" w:eastAsia="方正小标宋_GBK"/>
          <w:bCs/>
          <w:color w:val="auto"/>
          <w:sz w:val="32"/>
          <w:szCs w:val="32"/>
          <w:highlight w:val="none"/>
          <w:u w:val="none"/>
          <w:lang w:val="en-US" w:eastAsia="zh-CN"/>
        </w:rPr>
        <w:t xml:space="preserve">月</w:t>
      </w:r>
      <w:r>
        <w:rPr>
          <w:rFonts w:hint="eastAsia" w:ascii="方正小标宋_GBK" w:eastAsia="方正小标宋_GBK"/>
          <w:bCs/>
          <w:color w:val="auto"/>
          <w:sz w:val="32"/>
          <w:szCs w:val="32"/>
          <w:highlight w:val="none"/>
          <w:u w:val="single"/>
          <w:lang w:val="en-US" w:eastAsia="zh-CN"/>
        </w:rPr>
        <w:t xml:space="preserve">   </w:t>
      </w:r>
      <w:r>
        <w:rPr>
          <w:rFonts w:hint="eastAsia" w:ascii="方正小标宋_GBK" w:eastAsia="方正小标宋_GBK"/>
          <w:bCs/>
          <w:color w:val="auto"/>
          <w:sz w:val="32"/>
          <w:szCs w:val="32"/>
          <w:highlight w:val="none"/>
        </w:rPr>
        <w:t xml:space="preserve">日以来承担</w:t>
      </w:r>
      <w:r/>
    </w:p>
    <w:p>
      <w:pPr>
        <w:pStyle w:val="1051"/>
        <w:jc w:val="center"/>
        <w:rPr>
          <w:rFonts w:hint="eastAsia"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类似项目业绩一览表</w:t>
      </w:r>
      <w:bookmarkEnd w:id="168"/>
      <w:r/>
      <w:r/>
    </w:p>
    <w:tbl>
      <w:tblPr>
        <w:tblStyle w:val="673"/>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052"/>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1052"/>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1052"/>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1052"/>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服务主要内容</w:t>
            </w:r>
            <w:r/>
          </w:p>
        </w:tc>
      </w:tr>
      <w:tr>
        <w:trPr>
          <w:jc w:val="center"/>
          <w:trHeight w:val="1510"/>
        </w:trPr>
        <w:tc>
          <w:tcPr>
            <w:tcW w:w="1229" w:type="dxa"/>
            <w:vAlign w:val="top"/>
            <w:textDirection w:val="lrTb"/>
            <w:noWrap w:val="false"/>
          </w:tcPr>
          <w:p>
            <w:pPr>
              <w:pStyle w:val="1052"/>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052"/>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052"/>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052"/>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vAlign w:val="top"/>
            <w:textDirection w:val="lrTb"/>
            <w:noWrap w:val="false"/>
          </w:tcPr>
          <w:p>
            <w:pPr>
              <w:pStyle w:val="1052"/>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052"/>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052"/>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052"/>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vAlign w:val="top"/>
            <w:textDirection w:val="lrTb"/>
            <w:noWrap w:val="false"/>
          </w:tcPr>
          <w:p>
            <w:pPr>
              <w:pStyle w:val="1052"/>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052"/>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052"/>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052"/>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vAlign w:val="top"/>
            <w:textDirection w:val="lrTb"/>
            <w:noWrap w:val="false"/>
          </w:tcPr>
          <w:p>
            <w:pPr>
              <w:pStyle w:val="1052"/>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052"/>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052"/>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052"/>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bl>
    <w:p>
      <w:pPr>
        <w:pStyle w:val="1051"/>
        <w:rPr>
          <w:rFonts w:ascii="宋体" w:hAnsi="宋体"/>
          <w:bCs/>
          <w:color w:val="auto"/>
          <w:highlight w:val="none"/>
        </w:rPr>
      </w:pPr>
      <w:r>
        <w:rPr>
          <w:rFonts w:hint="eastAsia" w:ascii="宋体" w:hAnsi="宋体"/>
          <w:bCs/>
          <w:color w:val="auto"/>
          <w:sz w:val="24"/>
          <w:highlight w:val="none"/>
        </w:rPr>
        <w:t xml:space="preserve">注：请填写此表，并按要求上传业绩资料电子件。</w:t>
      </w:r>
      <w:r/>
    </w:p>
    <w:p>
      <w:pPr>
        <w:numPr>
          <w:ilvl w:val="0"/>
          <w:numId w:val="0"/>
        </w:numPr>
        <w:spacing w:line="480" w:lineRule="exact"/>
        <w:rPr>
          <w:rFonts w:ascii="宋体" w:hAnsi="宋体"/>
          <w:bCs/>
          <w:color w:val="auto"/>
          <w:highlight w:val="none"/>
        </w:rPr>
        <w:outlineLvl w:val="1"/>
      </w:pPr>
      <w:r>
        <w:rPr>
          <w:rFonts w:ascii="宋体" w:hAnsi="宋体"/>
          <w:bCs/>
          <w:color w:val="auto"/>
          <w:highlight w:val="none"/>
        </w:rPr>
      </w:r>
      <w:r/>
    </w:p>
    <w:p>
      <w:pPr>
        <w:numPr>
          <w:ilvl w:val="0"/>
          <w:numId w:val="0"/>
        </w:numPr>
        <w:spacing w:line="480" w:lineRule="exact"/>
        <w:rPr>
          <w:rFonts w:ascii="宋体" w:hAnsi="宋体"/>
          <w:bCs/>
          <w:color w:val="auto"/>
          <w:highlight w:val="none"/>
        </w:rPr>
        <w:outlineLvl w:val="1"/>
      </w:pPr>
      <w:r>
        <w:rPr>
          <w:rFonts w:ascii="宋体" w:hAnsi="宋体"/>
          <w:bCs/>
          <w:color w:val="auto"/>
          <w:highlight w:val="none"/>
        </w:rPr>
      </w:r>
      <w:r/>
    </w:p>
    <w:p>
      <w:pPr>
        <w:numPr>
          <w:ilvl w:val="0"/>
          <w:numId w:val="0"/>
        </w:numPr>
        <w:spacing w:line="480" w:lineRule="exact"/>
        <w:rPr>
          <w:rFonts w:ascii="宋体" w:hAnsi="宋体"/>
          <w:bCs/>
          <w:color w:val="auto"/>
          <w:highlight w:val="none"/>
        </w:rPr>
        <w:outlineLvl w:val="1"/>
      </w:pPr>
      <w:r>
        <w:rPr>
          <w:rFonts w:ascii="宋体" w:hAnsi="宋体"/>
          <w:bCs/>
          <w:color w:val="auto"/>
          <w:highlight w:val="none"/>
        </w:rPr>
      </w:r>
      <w:r/>
    </w:p>
    <w:p>
      <w:pPr>
        <w:numPr>
          <w:ilvl w:val="0"/>
          <w:numId w:val="0"/>
        </w:numPr>
        <w:spacing w:line="480" w:lineRule="exact"/>
        <w:rPr>
          <w:rFonts w:ascii="宋体" w:hAnsi="宋体"/>
          <w:bCs/>
          <w:color w:val="auto"/>
          <w:highlight w:val="none"/>
        </w:rPr>
        <w:outlineLvl w:val="1"/>
      </w:pPr>
      <w:r>
        <w:rPr>
          <w:rFonts w:ascii="宋体" w:hAnsi="宋体"/>
          <w:bCs/>
          <w:color w:val="auto"/>
          <w:highlight w:val="none"/>
        </w:rPr>
      </w:r>
      <w:r/>
    </w:p>
    <w:p>
      <w:pPr>
        <w:numPr>
          <w:ilvl w:val="0"/>
          <w:numId w:val="0"/>
        </w:numPr>
        <w:spacing w:line="480" w:lineRule="exact"/>
        <w:rPr>
          <w:rFonts w:ascii="宋体" w:hAnsi="宋体"/>
          <w:bCs/>
          <w:color w:val="auto"/>
          <w:highlight w:val="none"/>
        </w:rPr>
        <w:outlineLvl w:val="1"/>
      </w:pPr>
      <w:r>
        <w:rPr>
          <w:rFonts w:ascii="宋体" w:hAnsi="宋体"/>
          <w:bCs/>
          <w:color w:val="auto"/>
          <w:highlight w:val="none"/>
        </w:rPr>
      </w:r>
      <w:r/>
    </w:p>
    <w:p>
      <w:pPr>
        <w:numPr>
          <w:ilvl w:val="0"/>
          <w:numId w:val="0"/>
        </w:numPr>
        <w:spacing w:line="480" w:lineRule="exact"/>
        <w:rPr>
          <w:rFonts w:ascii="宋体" w:hAnsi="宋体"/>
          <w:bCs/>
          <w:color w:val="auto"/>
          <w:highlight w:val="none"/>
        </w:rPr>
        <w:outlineLvl w:val="1"/>
      </w:pPr>
      <w:r>
        <w:rPr>
          <w:rFonts w:ascii="宋体" w:hAnsi="宋体"/>
          <w:bCs/>
          <w:color w:val="auto"/>
          <w:highlight w:val="none"/>
        </w:rPr>
      </w:r>
      <w:r/>
    </w:p>
    <w:p>
      <w:pPr>
        <w:numPr>
          <w:ilvl w:val="0"/>
          <w:numId w:val="0"/>
        </w:numPr>
        <w:spacing w:line="480" w:lineRule="exact"/>
        <w:rPr>
          <w:rFonts w:ascii="宋体" w:hAnsi="宋体"/>
          <w:bCs/>
          <w:color w:val="auto"/>
          <w:highlight w:val="none"/>
        </w:rPr>
        <w:outlineLvl w:val="1"/>
      </w:pPr>
      <w:r>
        <w:rPr>
          <w:rFonts w:ascii="宋体" w:hAnsi="宋体"/>
          <w:bCs/>
          <w:color w:val="auto"/>
          <w:highlight w:val="none"/>
        </w:rPr>
      </w:r>
      <w:r/>
    </w:p>
    <w:p>
      <w:pPr>
        <w:numPr>
          <w:ilvl w:val="0"/>
          <w:numId w:val="0"/>
        </w:numPr>
        <w:spacing w:line="480" w:lineRule="exact"/>
        <w:rPr>
          <w:rFonts w:ascii="宋体" w:hAnsi="宋体"/>
          <w:bCs/>
          <w:color w:val="auto"/>
          <w:highlight w:val="none"/>
        </w:rPr>
        <w:outlineLvl w:val="1"/>
      </w:pPr>
      <w:r>
        <w:rPr>
          <w:rFonts w:ascii="宋体" w:hAnsi="宋体"/>
          <w:bCs/>
          <w:color w:val="auto"/>
          <w:highlight w:val="none"/>
        </w:rPr>
      </w:r>
      <w:r/>
    </w:p>
    <w:p>
      <w:pPr>
        <w:numPr>
          <w:ilvl w:val="0"/>
          <w:numId w:val="0"/>
        </w:numPr>
        <w:spacing w:line="480" w:lineRule="exact"/>
        <w:rPr>
          <w:rFonts w:ascii="宋体" w:hAnsi="宋体"/>
          <w:bCs/>
          <w:color w:val="auto"/>
          <w:highlight w:val="none"/>
        </w:rPr>
        <w:outlineLvl w:val="1"/>
      </w:pPr>
      <w:r>
        <w:rPr>
          <w:rFonts w:ascii="宋体" w:hAnsi="宋体"/>
          <w:bCs/>
          <w:color w:val="auto"/>
          <w:highlight w:val="none"/>
        </w:rPr>
      </w:r>
      <w:r/>
    </w:p>
    <w:p>
      <w:pPr>
        <w:numPr>
          <w:ilvl w:val="0"/>
          <w:numId w:val="0"/>
        </w:numPr>
        <w:spacing w:line="480" w:lineRule="exact"/>
        <w:rPr>
          <w:rFonts w:ascii="宋体" w:hAnsi="宋体"/>
          <w:bCs/>
          <w:color w:val="auto"/>
          <w:highlight w:val="none"/>
        </w:rPr>
        <w:outlineLvl w:val="1"/>
      </w:pPr>
      <w:r>
        <w:rPr>
          <w:rFonts w:ascii="宋体" w:hAnsi="宋体"/>
          <w:bCs/>
          <w:color w:val="auto"/>
          <w:highlight w:val="none"/>
        </w:rPr>
      </w:r>
      <w:r/>
    </w:p>
    <w:p>
      <w:pPr>
        <w:numPr>
          <w:ilvl w:val="0"/>
          <w:numId w:val="4"/>
        </w:numPr>
        <w:spacing w:line="480" w:lineRule="exact"/>
        <w:rPr>
          <w:rFonts w:hint="eastAsia" w:ascii="宋体" w:hAnsi="黑体" w:eastAsia="黑体" w:cs="黑体"/>
          <w:b w:val="0"/>
          <w:color w:val="auto"/>
          <w:sz w:val="32"/>
          <w:szCs w:val="32"/>
          <w:highlight w:val="none"/>
          <w:lang w:val="en-US" w:eastAsia="zh-CN" w:bidi="ar-SA"/>
        </w:rPr>
        <w:outlineLvl w:val="1"/>
      </w:pPr>
      <w:r>
        <w:rPr>
          <w:rFonts w:hint="eastAsia" w:ascii="宋体" w:hAnsi="黑体" w:eastAsia="黑体" w:cs="黑体"/>
          <w:b w:val="0"/>
          <w:color w:val="auto"/>
          <w:sz w:val="32"/>
          <w:szCs w:val="32"/>
          <w:highlight w:val="none"/>
          <w:lang w:val="en-US" w:eastAsia="zh-CN" w:bidi="ar-SA"/>
        </w:rPr>
        <w:t xml:space="preserve">实施方案</w:t>
      </w:r>
      <w:r/>
    </w:p>
    <w:p>
      <w:pPr>
        <w:numPr>
          <w:ilvl w:val="0"/>
          <w:numId w:val="0"/>
        </w:numPr>
        <w:ind w:firstLine="420"/>
        <w:spacing w:line="480" w:lineRule="exact"/>
        <w:rPr>
          <w:color w:val="auto"/>
          <w:sz w:val="24"/>
          <w:szCs w:val="24"/>
          <w:highlight w:val="none"/>
        </w:rPr>
        <w:outlineLvl w:val="1"/>
      </w:pPr>
      <w:r>
        <w:rPr>
          <w:rFonts w:hint="eastAsia" w:ascii="宋体" w:hAnsi="宋体"/>
          <w:bCs/>
          <w:color w:val="auto"/>
          <w:highlight w:val="none"/>
          <w:lang w:val="en-US" w:eastAsia="zh-CN"/>
        </w:rPr>
        <w:t xml:space="preserve">请在此文档中增加投标的实施方案（包括评分办法、采购需求中涉及的内容，格式自拟），如没有请将此空文档上传。</w:t>
      </w:r>
      <w:r>
        <w:rPr>
          <w:rFonts w:ascii="宋体" w:hAnsi="宋体"/>
          <w:bCs/>
          <w:color w:val="auto"/>
          <w:highlight w:val="none"/>
        </w:rPr>
        <w:br w:type="page" w:clear="all"/>
      </w:r>
      <w:bookmarkStart w:id="169" w:name="_Toc26048"/>
      <w:r/>
      <w:bookmarkStart w:id="170" w:name="_Toc9275"/>
      <w:r/>
      <w:r/>
    </w:p>
    <w:p>
      <w:pPr>
        <w:numPr>
          <w:ilvl w:val="0"/>
          <w:numId w:val="0"/>
        </w:numPr>
        <w:spacing w:line="480" w:lineRule="exact"/>
        <w:rPr>
          <w:rFonts w:hint="eastAsia" w:ascii="宋体" w:hAnsi="黑体" w:eastAsia="黑体" w:cs="黑体"/>
          <w:color w:val="auto"/>
          <w:sz w:val="32"/>
          <w:szCs w:val="32"/>
          <w:highlight w:val="none"/>
          <w:lang w:val="en-US" w:eastAsia="zh-CN"/>
        </w:rPr>
        <w:outlineLvl w:val="1"/>
      </w:pPr>
      <w:r>
        <w:rPr>
          <w:rFonts w:hint="eastAsia" w:ascii="宋体" w:hAnsi="黑体" w:eastAsia="黑体" w:cs="黑体"/>
          <w:color w:val="auto"/>
          <w:sz w:val="32"/>
          <w:szCs w:val="32"/>
          <w:highlight w:val="none"/>
          <w:lang w:val="en-US" w:eastAsia="zh-CN"/>
        </w:rPr>
        <w:t xml:space="preserve">十一、投标所需其他材料</w:t>
      </w:r>
      <w:r/>
    </w:p>
    <w:p>
      <w:pPr>
        <w:pStyle w:val="1055"/>
        <w:ind w:firstLine="420"/>
        <w:spacing w:line="480" w:lineRule="exact"/>
        <w:rPr>
          <w:color w:val="auto"/>
          <w:sz w:val="24"/>
          <w:szCs w:val="24"/>
          <w:highlight w:val="none"/>
        </w:rPr>
      </w:pPr>
      <w:r>
        <w:rPr>
          <w:rFonts w:hint="eastAsia"/>
          <w:color w:val="auto"/>
          <w:sz w:val="24"/>
          <w:szCs w:val="24"/>
          <w:highlight w:val="none"/>
        </w:rPr>
        <w:t xml:space="preserve">请在此文档中增加投标所需其他相关内容（包括评分办法、采购需求中涉及的证件证明及其它投标人认为有必要提供的资料），如没有请将此空文档上传。</w:t>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both"/>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ascii="宋体" w:hAnsi="宋体" w:cs="仿宋"/>
          <w:b/>
          <w:bCs/>
          <w:color w:val="auto"/>
          <w:sz w:val="32"/>
          <w:szCs w:val="32"/>
          <w:highlight w:val="none"/>
        </w:rPr>
      </w:pPr>
      <w:r>
        <w:rPr>
          <w:rFonts w:hint="eastAsia" w:ascii="宋体" w:hAnsi="宋体" w:cs="仿宋"/>
          <w:b/>
          <w:bCs/>
          <w:color w:val="auto"/>
          <w:sz w:val="32"/>
          <w:szCs w:val="32"/>
          <w:highlight w:val="none"/>
        </w:rPr>
        <w:t xml:space="preserve">质疑函范本</w:t>
      </w:r>
      <w:r/>
    </w:p>
    <w:p>
      <w:pPr>
        <w:spacing w:before="290"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四、与质疑事项相关的质疑请求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ascii="宋体" w:hAnsi="宋体"/>
          <w:color w:val="auto"/>
          <w:sz w:val="24"/>
          <w:szCs w:val="24"/>
          <w:highlight w:val="none"/>
        </w:rPr>
      </w:pPr>
      <w:r>
        <w:rPr>
          <w:rFonts w:hint="eastAsia" w:ascii="宋体" w:hAnsi="宋体"/>
          <w:color w:val="auto"/>
          <w:sz w:val="24"/>
          <w:szCs w:val="24"/>
          <w:highlight w:val="none"/>
        </w:rPr>
        <w:t xml:space="preserve">签字(签章)：                   公章：                      </w:t>
      </w:r>
      <w:r/>
    </w:p>
    <w:p>
      <w:pPr>
        <w:rPr>
          <w:rFonts w:ascii="宋体" w:hAnsi="宋体"/>
          <w:color w:val="auto"/>
          <w:sz w:val="24"/>
          <w:szCs w:val="24"/>
          <w:highlight w:val="none"/>
        </w:rPr>
      </w:pPr>
      <w:r>
        <w:rPr>
          <w:rFonts w:hint="eastAsia" w:ascii="宋体" w:hAnsi="宋体"/>
          <w:color w:val="auto"/>
          <w:sz w:val="24"/>
          <w:szCs w:val="24"/>
          <w:highlight w:val="none"/>
        </w:rPr>
        <w:t xml:space="preserve">日期：    </w:t>
      </w:r>
      <w:r/>
    </w:p>
    <w:p>
      <w:pPr>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1.供应商提出质疑时，应提交质疑函和必要的证明材料。</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5.质疑函的质疑请求应与质疑事项相关。</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numPr>
          <w:ilvl w:val="0"/>
          <w:numId w:val="0"/>
        </w:numPr>
        <w:spacing w:line="480" w:lineRule="exact"/>
        <w:rPr>
          <w:rFonts w:hint="eastAsia" w:ascii="宋体" w:hAnsi="黑体" w:eastAsia="黑体" w:cs="黑体"/>
          <w:color w:val="auto"/>
          <w:sz w:val="32"/>
          <w:szCs w:val="32"/>
          <w:highlight w:val="none"/>
        </w:rPr>
        <w:outlineLvl w:val="1"/>
      </w:pPr>
      <w:r>
        <w:rPr>
          <w:rFonts w:hint="eastAsia" w:ascii="宋体" w:hAnsi="黑体" w:eastAsia="黑体" w:cs="黑体"/>
          <w:color w:val="auto"/>
          <w:sz w:val="32"/>
          <w:szCs w:val="32"/>
          <w:highlight w:val="none"/>
        </w:rPr>
      </w:r>
      <w:bookmarkEnd w:id="169"/>
      <w:bookmarkEnd w:id="170"/>
      <w:r/>
    </w:p>
    <w:p>
      <w:pPr>
        <w:numPr>
          <w:ilvl w:val="0"/>
          <w:numId w:val="0"/>
        </w:numPr>
        <w:spacing w:line="480" w:lineRule="exact"/>
        <w:rPr>
          <w:rFonts w:hint="eastAsia" w:ascii="宋体" w:hAnsi="黑体" w:eastAsia="黑体" w:cs="黑体"/>
          <w:color w:val="auto"/>
          <w:sz w:val="32"/>
          <w:szCs w:val="32"/>
          <w:highlight w:val="none"/>
        </w:rPr>
        <w:outlineLvl w:val="1"/>
      </w:pPr>
      <w:r>
        <w:rPr>
          <w:rFonts w:hint="eastAsia" w:ascii="宋体" w:hAnsi="黑体" w:eastAsia="黑体" w:cs="黑体"/>
          <w:color w:val="auto"/>
          <w:sz w:val="32"/>
          <w:szCs w:val="32"/>
          <w:highlight w:val="none"/>
        </w:rPr>
      </w:r>
      <w:r/>
    </w:p>
    <w:p>
      <w:pPr>
        <w:ind w:firstLine="0"/>
        <w:jc w:val="left"/>
        <w:keepLines w:val="0"/>
        <w:keepNext w:val="0"/>
        <w:pageBreakBefore w:val="0"/>
        <w:spacing w:line="240" w:lineRule="auto"/>
        <w:widowControl/>
        <w:rPr>
          <w:rFonts w:ascii="宋体" w:hAnsi="宋体"/>
          <w:color w:val="auto"/>
          <w:sz w:val="24"/>
          <w:szCs w:val="24"/>
          <w:highlight w:val="none"/>
        </w:rPr>
      </w:pPr>
      <w:r>
        <w:rPr>
          <w:rFonts w:ascii="宋体" w:hAnsi="宋体"/>
          <w:color w:val="auto"/>
          <w:sz w:val="24"/>
          <w:szCs w:val="24"/>
          <w:highlight w:val="none"/>
        </w:rPr>
      </w:r>
      <w:r/>
    </w:p>
    <w:sectPr>
      <w:headerReference w:type="default" r:id="rId9"/>
      <w:footerReference w:type="default" r:id="rId10"/>
      <w:footnotePr/>
      <w:endnotePr/>
      <w:type w:val="continuous"/>
      <w:pgSz w:w="11906" w:h="16838" w:orient="portrait"/>
      <w:pgMar w:top="1440" w:right="1304"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ans-serif">
    <w:panose1 w:val="020B0503020202020204"/>
  </w:font>
  <w:font w:name="方正仿宋_GB2312">
    <w:panose1 w:val="020B0503020202020204"/>
  </w:font>
  <w:font w:name="Wingdings">
    <w:panose1 w:val="05000000000000000000"/>
  </w:font>
  <w:font w:name="华文楷体">
    <w:panose1 w:val="02010600040101010101"/>
  </w:font>
  <w:font w:name="方正小标宋_GBK">
    <w:panose1 w:val="020B0503020202020204"/>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
    <w:panose1 w:val="02010609060101010101"/>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楷体_GB2312">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monospace">
    <w:panose1 w:val="020B0503020202020204"/>
  </w:font>
  <w:font w:name="方正仿宋_GB18030">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770"/>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770"/>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770"/>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pStyle w:val="1138"/>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23"/>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chineseCounting"/>
      <w:isLgl w:val="false"/>
      <w:suff w:val="nothing"/>
      <w:lvlText w:val="（%1）"/>
      <w:lvlJc w:val="left"/>
      <w:pPr>
        <w:ind w:left="210"/>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2" w:default="1">
    <w:name w:val="Normal"/>
    <w:next w:val="674"/>
    <w:link w:val="1186"/>
    <w:uiPriority w:val="0"/>
    <w:qFormat/>
    <w:pPr>
      <w:jc w:val="both"/>
      <w:widowControl w:val="off"/>
    </w:pPr>
    <w:rPr>
      <w:rFonts w:hint="default" w:ascii="Calibri" w:hAnsi="Calibri" w:eastAsia="宋体" w:cs="Times New Roman"/>
      <w:sz w:val="21"/>
      <w:szCs w:val="22"/>
      <w:lang w:val="en-US" w:eastAsia="zh-CN" w:bidi="ar-SA"/>
    </w:rPr>
  </w:style>
  <w:style w:type="paragraph" w:styleId="663">
    <w:name w:val="Heading 1"/>
    <w:basedOn w:val="662"/>
    <w:next w:val="662"/>
    <w:uiPriority w:val="9"/>
    <w:qFormat/>
    <w:pPr>
      <w:keepLines/>
      <w:keepNext/>
      <w:spacing w:before="480" w:after="200"/>
      <w:outlineLvl w:val="0"/>
    </w:pPr>
    <w:rPr>
      <w:rFonts w:ascii="Arial" w:hAnsi="Arial" w:eastAsia="Arial" w:cs="Arial"/>
      <w:sz w:val="40"/>
      <w:szCs w:val="40"/>
    </w:rPr>
  </w:style>
  <w:style w:type="paragraph" w:styleId="664">
    <w:name w:val="Heading 2"/>
    <w:basedOn w:val="662"/>
    <w:next w:val="675"/>
    <w:uiPriority w:val="9"/>
    <w:unhideWhenUsed/>
    <w:qFormat/>
    <w:pPr>
      <w:keepLines/>
      <w:keepNext/>
      <w:spacing w:before="360" w:after="200"/>
      <w:outlineLvl w:val="1"/>
    </w:pPr>
    <w:rPr>
      <w:rFonts w:ascii="Arial" w:hAnsi="Arial" w:eastAsia="Arial" w:cs="Arial"/>
      <w:sz w:val="34"/>
    </w:rPr>
  </w:style>
  <w:style w:type="paragraph" w:styleId="665">
    <w:name w:val="Heading 3"/>
    <w:basedOn w:val="662"/>
    <w:next w:val="662"/>
    <w:uiPriority w:val="9"/>
    <w:unhideWhenUsed/>
    <w:qFormat/>
    <w:pPr>
      <w:keepLines/>
      <w:keepNext/>
      <w:spacing w:before="320" w:after="200"/>
      <w:outlineLvl w:val="2"/>
    </w:pPr>
    <w:rPr>
      <w:rFonts w:ascii="Arial" w:hAnsi="Arial" w:eastAsia="Arial" w:cs="Arial"/>
      <w:sz w:val="30"/>
      <w:szCs w:val="30"/>
    </w:rPr>
  </w:style>
  <w:style w:type="paragraph" w:styleId="666">
    <w:name w:val="Heading 4"/>
    <w:basedOn w:val="662"/>
    <w:next w:val="662"/>
    <w:uiPriority w:val="9"/>
    <w:unhideWhenUsed/>
    <w:qFormat/>
    <w:pPr>
      <w:keepLines/>
      <w:keepNext/>
      <w:spacing w:before="320" w:after="200"/>
      <w:outlineLvl w:val="3"/>
    </w:pPr>
    <w:rPr>
      <w:rFonts w:ascii="Arial" w:hAnsi="Arial" w:eastAsia="Arial" w:cs="Arial"/>
      <w:b/>
      <w:bCs/>
      <w:sz w:val="26"/>
      <w:szCs w:val="26"/>
    </w:rPr>
  </w:style>
  <w:style w:type="paragraph" w:styleId="667">
    <w:name w:val="Heading 5"/>
    <w:basedOn w:val="662"/>
    <w:next w:val="662"/>
    <w:uiPriority w:val="9"/>
    <w:unhideWhenUsed/>
    <w:qFormat/>
    <w:pPr>
      <w:keepLines/>
      <w:keepNext/>
      <w:spacing w:before="320" w:after="200"/>
      <w:outlineLvl w:val="4"/>
    </w:pPr>
    <w:rPr>
      <w:rFonts w:ascii="Arial" w:hAnsi="Arial" w:eastAsia="Arial" w:cs="Arial"/>
      <w:b/>
      <w:bCs/>
      <w:sz w:val="24"/>
      <w:szCs w:val="24"/>
    </w:rPr>
  </w:style>
  <w:style w:type="paragraph" w:styleId="668">
    <w:name w:val="Heading 6"/>
    <w:basedOn w:val="662"/>
    <w:next w:val="662"/>
    <w:uiPriority w:val="9"/>
    <w:unhideWhenUsed/>
    <w:qFormat/>
    <w:pPr>
      <w:keepLines/>
      <w:keepNext/>
      <w:spacing w:before="320" w:after="200"/>
      <w:outlineLvl w:val="5"/>
    </w:pPr>
    <w:rPr>
      <w:rFonts w:ascii="Arial" w:hAnsi="Arial" w:eastAsia="Arial" w:cs="Arial"/>
      <w:b/>
      <w:bCs/>
      <w:sz w:val="22"/>
      <w:szCs w:val="22"/>
    </w:rPr>
  </w:style>
  <w:style w:type="paragraph" w:styleId="669">
    <w:name w:val="Heading 7"/>
    <w:basedOn w:val="662"/>
    <w:next w:val="662"/>
    <w:uiPriority w:val="9"/>
    <w:unhideWhenUsed/>
    <w:qFormat/>
    <w:pPr>
      <w:keepLines/>
      <w:keepNext/>
      <w:spacing w:before="320" w:after="200"/>
      <w:outlineLvl w:val="6"/>
    </w:pPr>
    <w:rPr>
      <w:rFonts w:ascii="Arial" w:hAnsi="Arial" w:eastAsia="Arial" w:cs="Arial"/>
      <w:b/>
      <w:bCs/>
      <w:i/>
      <w:iCs/>
      <w:sz w:val="22"/>
      <w:szCs w:val="22"/>
    </w:rPr>
  </w:style>
  <w:style w:type="paragraph" w:styleId="670">
    <w:name w:val="Heading 8"/>
    <w:basedOn w:val="662"/>
    <w:next w:val="662"/>
    <w:uiPriority w:val="9"/>
    <w:unhideWhenUsed/>
    <w:qFormat/>
    <w:pPr>
      <w:keepLines/>
      <w:keepNext/>
      <w:spacing w:before="320" w:after="200"/>
      <w:outlineLvl w:val="7"/>
    </w:pPr>
    <w:rPr>
      <w:rFonts w:ascii="Arial" w:hAnsi="Arial" w:eastAsia="Arial" w:cs="Arial"/>
      <w:i/>
      <w:iCs/>
      <w:sz w:val="22"/>
      <w:szCs w:val="22"/>
    </w:rPr>
  </w:style>
  <w:style w:type="paragraph" w:styleId="671">
    <w:name w:val="Heading 9"/>
    <w:basedOn w:val="662"/>
    <w:next w:val="662"/>
    <w:uiPriority w:val="9"/>
    <w:unhideWhenUsed/>
    <w:qFormat/>
    <w:pPr>
      <w:keepLines/>
      <w:keepNext/>
      <w:spacing w:before="320" w:after="200"/>
      <w:outlineLvl w:val="8"/>
    </w:pPr>
    <w:rPr>
      <w:rFonts w:ascii="Arial" w:hAnsi="Arial" w:eastAsia="Arial" w:cs="Arial"/>
      <w:i/>
      <w:iCs/>
      <w:sz w:val="21"/>
      <w:szCs w:val="21"/>
    </w:rPr>
  </w:style>
  <w:style w:type="character" w:styleId="672" w:default="1">
    <w:name w:val="Default Paragraph Font"/>
    <w:uiPriority w:val="1"/>
    <w:semiHidden/>
    <w:unhideWhenUsed/>
    <w:qFormat/>
  </w:style>
  <w:style w:type="table" w:styleId="673" w:default="1">
    <w:name w:val="Normal Table"/>
    <w:uiPriority w:val="99"/>
    <w:semiHidden/>
    <w:unhideWhenUsed/>
    <w:qFormat/>
    <w:tblPr>
      <w:tblCellMar>
        <w:left w:w="108" w:type="dxa"/>
        <w:top w:w="0" w:type="dxa"/>
        <w:right w:w="108" w:type="dxa"/>
        <w:bottom w:w="0" w:type="dxa"/>
      </w:tblCellMar>
    </w:tblPr>
  </w:style>
  <w:style w:type="paragraph" w:styleId="674" w:customStyle="1">
    <w:name w:val="BodyText1"/>
    <w:basedOn w:val="662"/>
    <w:uiPriority w:val="0"/>
    <w:qFormat/>
    <w:pPr>
      <w:jc w:val="both"/>
      <w:spacing w:after="120"/>
    </w:pPr>
  </w:style>
  <w:style w:type="paragraph" w:styleId="675">
    <w:name w:val="Normal Indent"/>
    <w:basedOn w:val="662"/>
    <w:uiPriority w:val="0"/>
    <w:qFormat/>
    <w:pPr>
      <w:ind w:firstLine="420"/>
    </w:pPr>
    <w:rPr>
      <w:rFonts w:ascii="宋体"/>
      <w:color w:val="000000"/>
      <w:sz w:val="24"/>
      <w:szCs w:val="20"/>
    </w:rPr>
  </w:style>
  <w:style w:type="paragraph" w:styleId="676">
    <w:name w:val="toc 7"/>
    <w:basedOn w:val="662"/>
    <w:next w:val="662"/>
    <w:uiPriority w:val="39"/>
    <w:unhideWhenUsed/>
    <w:qFormat/>
    <w:pPr>
      <w:ind w:left="1701" w:right="0" w:firstLine="0"/>
      <w:spacing w:after="57"/>
    </w:pPr>
  </w:style>
  <w:style w:type="paragraph" w:styleId="677">
    <w:name w:val="Caption"/>
    <w:basedOn w:val="662"/>
    <w:next w:val="66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8">
    <w:name w:val="annotation text"/>
    <w:basedOn w:val="662"/>
    <w:uiPriority w:val="0"/>
    <w:qFormat/>
    <w:pPr>
      <w:jc w:val="left"/>
    </w:pPr>
  </w:style>
  <w:style w:type="paragraph" w:styleId="679">
    <w:name w:val="Body Text Indent"/>
    <w:basedOn w:val="662"/>
    <w:uiPriority w:val="0"/>
    <w:qFormat/>
    <w:pPr>
      <w:ind w:firstLine="645"/>
      <w:jc w:val="both"/>
      <w:widowControl w:val="off"/>
    </w:pPr>
    <w:rPr>
      <w:rFonts w:hint="default" w:ascii="楷体_GB2312" w:hAnsi="Calibri" w:eastAsia="楷体_GB2312" w:cs="Times New Roman"/>
      <w:sz w:val="32"/>
      <w:szCs w:val="32"/>
      <w:lang w:val="en-US" w:eastAsia="en-US" w:bidi="ar-SA"/>
    </w:rPr>
  </w:style>
  <w:style w:type="paragraph" w:styleId="680">
    <w:name w:val="toc 5"/>
    <w:basedOn w:val="662"/>
    <w:next w:val="662"/>
    <w:uiPriority w:val="39"/>
    <w:unhideWhenUsed/>
    <w:qFormat/>
    <w:pPr>
      <w:ind w:left="1134" w:right="0" w:firstLine="0"/>
      <w:spacing w:after="57"/>
    </w:pPr>
  </w:style>
  <w:style w:type="paragraph" w:styleId="681">
    <w:name w:val="toc 3"/>
    <w:basedOn w:val="662"/>
    <w:next w:val="662"/>
    <w:uiPriority w:val="39"/>
    <w:unhideWhenUsed/>
    <w:qFormat/>
    <w:pPr>
      <w:ind w:left="567" w:right="0" w:firstLine="0"/>
      <w:spacing w:after="57"/>
    </w:pPr>
  </w:style>
  <w:style w:type="paragraph" w:styleId="682">
    <w:name w:val="toc 8"/>
    <w:basedOn w:val="662"/>
    <w:next w:val="662"/>
    <w:uiPriority w:val="39"/>
    <w:unhideWhenUsed/>
    <w:qFormat/>
    <w:pPr>
      <w:ind w:left="1984" w:right="0" w:firstLine="0"/>
      <w:spacing w:after="57"/>
    </w:pPr>
  </w:style>
  <w:style w:type="paragraph" w:styleId="683">
    <w:name w:val="endnote text"/>
    <w:basedOn w:val="662"/>
    <w:uiPriority w:val="99"/>
    <w:semiHidden/>
    <w:unhideWhenUsed/>
    <w:qFormat/>
    <w:pPr>
      <w:spacing w:after="0" w:line="240" w:lineRule="auto"/>
    </w:pPr>
    <w:rPr>
      <w:sz w:val="20"/>
    </w:rPr>
  </w:style>
  <w:style w:type="paragraph" w:styleId="684">
    <w:name w:val="Footer"/>
    <w:basedOn w:val="662"/>
    <w:uiPriority w:val="99"/>
    <w:unhideWhenUsed/>
    <w:qFormat/>
    <w:pPr>
      <w:spacing w:after="0" w:line="240" w:lineRule="auto"/>
      <w:tabs>
        <w:tab w:val="center" w:pos="7143" w:leader="none"/>
        <w:tab w:val="right" w:pos="14287" w:leader="none"/>
      </w:tabs>
    </w:pPr>
  </w:style>
  <w:style w:type="paragraph" w:styleId="685">
    <w:name w:val="Header"/>
    <w:basedOn w:val="662"/>
    <w:uiPriority w:val="99"/>
    <w:unhideWhenUsed/>
    <w:qFormat/>
    <w:pPr>
      <w:spacing w:after="0" w:line="240" w:lineRule="auto"/>
      <w:tabs>
        <w:tab w:val="center" w:pos="7143" w:leader="none"/>
        <w:tab w:val="right" w:pos="14287" w:leader="none"/>
      </w:tabs>
    </w:pPr>
  </w:style>
  <w:style w:type="paragraph" w:styleId="686">
    <w:name w:val="toc 1"/>
    <w:basedOn w:val="662"/>
    <w:next w:val="662"/>
    <w:uiPriority w:val="39"/>
    <w:unhideWhenUsed/>
    <w:qFormat/>
    <w:pPr>
      <w:ind w:left="0" w:right="0" w:firstLine="0"/>
      <w:spacing w:after="57"/>
    </w:pPr>
  </w:style>
  <w:style w:type="paragraph" w:styleId="687">
    <w:name w:val="toc 4"/>
    <w:basedOn w:val="662"/>
    <w:next w:val="662"/>
    <w:uiPriority w:val="39"/>
    <w:unhideWhenUsed/>
    <w:qFormat/>
    <w:pPr>
      <w:ind w:left="850" w:right="0" w:firstLine="0"/>
      <w:spacing w:after="57"/>
    </w:pPr>
  </w:style>
  <w:style w:type="paragraph" w:styleId="688">
    <w:name w:val="Subtitle"/>
    <w:basedOn w:val="662"/>
    <w:next w:val="662"/>
    <w:uiPriority w:val="11"/>
    <w:qFormat/>
    <w:pPr>
      <w:spacing w:before="200" w:after="200"/>
    </w:pPr>
    <w:rPr>
      <w:sz w:val="24"/>
      <w:szCs w:val="24"/>
    </w:rPr>
  </w:style>
  <w:style w:type="paragraph" w:styleId="689">
    <w:name w:val="footnote text"/>
    <w:basedOn w:val="662"/>
    <w:uiPriority w:val="99"/>
    <w:semiHidden/>
    <w:unhideWhenUsed/>
    <w:qFormat/>
    <w:pPr>
      <w:spacing w:after="40" w:line="240" w:lineRule="auto"/>
    </w:pPr>
    <w:rPr>
      <w:sz w:val="18"/>
    </w:rPr>
  </w:style>
  <w:style w:type="paragraph" w:styleId="690">
    <w:name w:val="toc 6"/>
    <w:basedOn w:val="662"/>
    <w:next w:val="662"/>
    <w:uiPriority w:val="39"/>
    <w:unhideWhenUsed/>
    <w:qFormat/>
    <w:pPr>
      <w:ind w:left="1417" w:right="0" w:firstLine="0"/>
      <w:spacing w:after="57"/>
    </w:pPr>
  </w:style>
  <w:style w:type="paragraph" w:styleId="691">
    <w:name w:val="table of figures"/>
    <w:basedOn w:val="662"/>
    <w:next w:val="662"/>
    <w:uiPriority w:val="99"/>
    <w:unhideWhenUsed/>
    <w:qFormat/>
    <w:pPr>
      <w:spacing w:after="0" w:afterAutospacing="0"/>
    </w:pPr>
  </w:style>
  <w:style w:type="paragraph" w:styleId="692">
    <w:name w:val="toc 2"/>
    <w:basedOn w:val="662"/>
    <w:next w:val="662"/>
    <w:uiPriority w:val="39"/>
    <w:unhideWhenUsed/>
    <w:qFormat/>
    <w:pPr>
      <w:ind w:left="283" w:right="0" w:firstLine="0"/>
      <w:spacing w:after="57"/>
    </w:pPr>
  </w:style>
  <w:style w:type="paragraph" w:styleId="693">
    <w:name w:val="toc 9"/>
    <w:basedOn w:val="662"/>
    <w:next w:val="662"/>
    <w:uiPriority w:val="39"/>
    <w:unhideWhenUsed/>
    <w:qFormat/>
    <w:pPr>
      <w:ind w:left="2268" w:right="0" w:firstLine="0"/>
      <w:spacing w:after="57"/>
    </w:pPr>
  </w:style>
  <w:style w:type="paragraph" w:styleId="694">
    <w:name w:val="Normal (Web)"/>
    <w:basedOn w:val="662"/>
    <w:uiPriority w:val="99"/>
    <w:semiHidden/>
    <w:unhideWhenUsed/>
    <w:qFormat/>
    <w:pPr>
      <w:ind w:left="0" w:right="0"/>
      <w:jc w:val="left"/>
      <w:spacing w:before="0" w:beforeAutospacing="0" w:after="0" w:afterAutospacing="0"/>
      <w:pBdr>
        <w:top w:val="none" w:color="auto" w:sz="0" w:space="0"/>
        <w:left w:val="none" w:color="auto" w:sz="0" w:space="0"/>
        <w:bottom w:val="none" w:color="auto" w:sz="0" w:space="0"/>
        <w:right w:val="none" w:color="auto" w:sz="0" w:space="0"/>
      </w:pBdr>
    </w:pPr>
    <w:rPr>
      <w:sz w:val="24"/>
      <w:lang w:val="en-US" w:eastAsia="zh-CN" w:bidi="ar"/>
    </w:rPr>
  </w:style>
  <w:style w:type="paragraph" w:styleId="695">
    <w:name w:val="Title"/>
    <w:basedOn w:val="662"/>
    <w:next w:val="662"/>
    <w:uiPriority w:val="10"/>
    <w:qFormat/>
    <w:pPr>
      <w:contextualSpacing/>
      <w:spacing w:before="300" w:after="200"/>
    </w:pPr>
    <w:rPr>
      <w:sz w:val="48"/>
      <w:szCs w:val="48"/>
    </w:rPr>
  </w:style>
  <w:style w:type="table" w:styleId="69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7">
    <w:name w:val="Strong"/>
    <w:basedOn w:val="672"/>
    <w:uiPriority w:val="22"/>
    <w:qFormat/>
  </w:style>
  <w:style w:type="character" w:styleId="698">
    <w:name w:val="endnote reference"/>
    <w:uiPriority w:val="99"/>
    <w:semiHidden/>
    <w:unhideWhenUsed/>
    <w:qFormat/>
    <w:rPr>
      <w:vertAlign w:val="superscript"/>
    </w:rPr>
  </w:style>
  <w:style w:type="character" w:styleId="699">
    <w:name w:val="FollowedHyperlink"/>
    <w:basedOn w:val="672"/>
    <w:uiPriority w:val="99"/>
    <w:semiHidden/>
    <w:unhideWhenUsed/>
    <w:qFormat/>
    <w:rPr>
      <w:color w:val="800080"/>
      <w:u w:val="none"/>
    </w:rPr>
  </w:style>
  <w:style w:type="character" w:styleId="700">
    <w:name w:val="Emphasis"/>
    <w:basedOn w:val="672"/>
    <w:uiPriority w:val="20"/>
    <w:qFormat/>
  </w:style>
  <w:style w:type="character" w:styleId="701">
    <w:name w:val="HTML Definition"/>
    <w:basedOn w:val="672"/>
    <w:uiPriority w:val="99"/>
    <w:semiHidden/>
    <w:unhideWhenUsed/>
    <w:qFormat/>
  </w:style>
  <w:style w:type="character" w:styleId="702">
    <w:name w:val="HTML Typewriter"/>
    <w:basedOn w:val="672"/>
    <w:uiPriority w:val="99"/>
    <w:semiHidden/>
    <w:unhideWhenUsed/>
    <w:qFormat/>
    <w:rPr>
      <w:rFonts w:hint="default" w:ascii="monospace" w:hAnsi="monospace" w:eastAsia="monospace" w:cs="monospace"/>
      <w:sz w:val="20"/>
    </w:rPr>
  </w:style>
  <w:style w:type="character" w:styleId="703">
    <w:name w:val="HTML Acronym"/>
    <w:basedOn w:val="672"/>
    <w:uiPriority w:val="99"/>
    <w:semiHidden/>
    <w:unhideWhenUsed/>
    <w:qFormat/>
  </w:style>
  <w:style w:type="character" w:styleId="704">
    <w:name w:val="HTML Variable"/>
    <w:basedOn w:val="672"/>
    <w:uiPriority w:val="99"/>
    <w:semiHidden/>
    <w:unhideWhenUsed/>
    <w:qFormat/>
  </w:style>
  <w:style w:type="character" w:styleId="705">
    <w:name w:val="Hyperlink"/>
    <w:uiPriority w:val="99"/>
    <w:unhideWhenUsed/>
    <w:qFormat/>
    <w:rPr>
      <w:color w:val="0000ff" w:themeColor="hyperlink"/>
      <w:u w:val="single"/>
      <w14:textFill>
        <w14:solidFill>
          <w14:schemeClr w14:val="hlink"/>
        </w14:solidFill>
      </w14:textFill>
    </w:rPr>
  </w:style>
  <w:style w:type="character" w:styleId="706">
    <w:name w:val="HTML Code"/>
    <w:basedOn w:val="672"/>
    <w:uiPriority w:val="99"/>
    <w:semiHidden/>
    <w:unhideWhenUsed/>
    <w:qFormat/>
    <w:rPr>
      <w:rFonts w:hint="default" w:ascii="monospace" w:hAnsi="monospace" w:eastAsia="monospace" w:cs="monospace"/>
      <w:sz w:val="20"/>
    </w:rPr>
  </w:style>
  <w:style w:type="character" w:styleId="707">
    <w:name w:val="HTML Cite"/>
    <w:basedOn w:val="672"/>
    <w:uiPriority w:val="99"/>
    <w:semiHidden/>
    <w:unhideWhenUsed/>
    <w:qFormat/>
  </w:style>
  <w:style w:type="character" w:styleId="708">
    <w:name w:val="footnote reference"/>
    <w:uiPriority w:val="99"/>
    <w:unhideWhenUsed/>
    <w:qFormat/>
    <w:rPr>
      <w:vertAlign w:val="superscript"/>
    </w:rPr>
  </w:style>
  <w:style w:type="character" w:styleId="709">
    <w:name w:val="HTML Keyboard"/>
    <w:basedOn w:val="672"/>
    <w:uiPriority w:val="99"/>
    <w:semiHidden/>
    <w:unhideWhenUsed/>
    <w:qFormat/>
    <w:rPr>
      <w:rFonts w:hint="default" w:ascii="monospace" w:hAnsi="monospace" w:eastAsia="monospace" w:cs="monospace"/>
      <w:sz w:val="20"/>
    </w:rPr>
  </w:style>
  <w:style w:type="character" w:styleId="710">
    <w:name w:val="HTML Sample"/>
    <w:basedOn w:val="672"/>
    <w:uiPriority w:val="99"/>
    <w:semiHidden/>
    <w:unhideWhenUsed/>
    <w:qFormat/>
    <w:rPr>
      <w:rFonts w:ascii="monospace" w:hAnsi="monospace" w:eastAsia="monospace" w:cs="monospace"/>
    </w:rPr>
  </w:style>
  <w:style w:type="paragraph" w:styleId="711">
    <w:name w:val="List Paragraph"/>
    <w:basedOn w:val="662"/>
    <w:uiPriority w:val="34"/>
    <w:qFormat/>
    <w:pPr>
      <w:contextualSpacing/>
      <w:ind w:left="720"/>
    </w:pPr>
  </w:style>
  <w:style w:type="paragraph" w:styleId="712">
    <w:name w:val="No Spacing"/>
    <w:uiPriority w:val="1"/>
    <w:qFormat/>
    <w:pPr>
      <w:spacing w:before="0" w:after="0" w:line="240" w:lineRule="auto"/>
    </w:pPr>
    <w:rPr>
      <w:rFonts w:hint="default" w:ascii="Times New Roman" w:hAnsi="Times New Roman" w:eastAsia="宋体" w:cs="Times New Roman"/>
    </w:rPr>
  </w:style>
  <w:style w:type="paragraph" w:styleId="713">
    <w:name w:val="Quote"/>
    <w:basedOn w:val="662"/>
    <w:next w:val="662"/>
    <w:uiPriority w:val="29"/>
    <w:qFormat/>
    <w:pPr>
      <w:ind w:left="720" w:right="720"/>
    </w:pPr>
    <w:rPr>
      <w:i/>
    </w:rPr>
  </w:style>
  <w:style w:type="paragraph" w:styleId="714">
    <w:name w:val="Intense Quote"/>
    <w:basedOn w:val="662"/>
    <w:next w:val="6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15" w:customStyle="1">
    <w:name w:val="标题 11"/>
    <w:basedOn w:val="662"/>
    <w:next w:val="662"/>
    <w:link w:val="734"/>
    <w:uiPriority w:val="0"/>
    <w:qFormat/>
    <w:pPr>
      <w:keepLines/>
      <w:keepNext/>
      <w:spacing w:before="480" w:after="200"/>
      <w:outlineLvl w:val="0"/>
    </w:pPr>
    <w:rPr>
      <w:rFonts w:ascii="Arial" w:hAnsi="Arial" w:eastAsia="Arial" w:cs="Arial"/>
      <w:sz w:val="40"/>
      <w:szCs w:val="40"/>
    </w:rPr>
  </w:style>
  <w:style w:type="paragraph" w:styleId="716" w:customStyle="1">
    <w:name w:val="标题 211"/>
    <w:basedOn w:val="662"/>
    <w:next w:val="717"/>
    <w:link w:val="735"/>
    <w:uiPriority w:val="0"/>
    <w:qFormat/>
    <w:pPr>
      <w:keepLines/>
      <w:keepNext/>
      <w:spacing w:before="260" w:after="260" w:line="413" w:lineRule="auto"/>
      <w:outlineLvl w:val="1"/>
    </w:pPr>
    <w:rPr>
      <w:rFonts w:ascii="Arial" w:hAnsi="Arial" w:eastAsia="黑体"/>
      <w:b/>
      <w:sz w:val="32"/>
      <w:szCs w:val="20"/>
    </w:rPr>
  </w:style>
  <w:style w:type="paragraph" w:styleId="717" w:customStyle="1">
    <w:name w:val="正文缩进11"/>
    <w:basedOn w:val="662"/>
    <w:link w:val="736"/>
    <w:uiPriority w:val="0"/>
    <w:qFormat/>
    <w:pPr>
      <w:ind w:firstLine="420"/>
    </w:pPr>
    <w:rPr>
      <w:rFonts w:ascii="宋体"/>
      <w:color w:val="000000"/>
      <w:sz w:val="24"/>
      <w:szCs w:val="20"/>
    </w:rPr>
  </w:style>
  <w:style w:type="paragraph" w:styleId="718" w:customStyle="1">
    <w:name w:val="标题 311"/>
    <w:basedOn w:val="719"/>
    <w:next w:val="720"/>
    <w:link w:val="737"/>
    <w:uiPriority w:val="0"/>
    <w:qFormat/>
    <w:pPr>
      <w:keepLines/>
      <w:keepNext/>
      <w:spacing w:before="320" w:after="200"/>
      <w:outlineLvl w:val="2"/>
    </w:pPr>
    <w:rPr>
      <w:rFonts w:ascii="Arial" w:hAnsi="Arial" w:eastAsia="Arial" w:cs="Arial"/>
      <w:sz w:val="30"/>
      <w:szCs w:val="30"/>
    </w:rPr>
  </w:style>
  <w:style w:type="paragraph" w:styleId="719" w:customStyle="1">
    <w:name w:val="Normal1"/>
    <w:next w:val="718"/>
    <w:uiPriority w:val="0"/>
    <w:qFormat/>
    <w:pPr>
      <w:jc w:val="both"/>
      <w:widowControl w:val="off"/>
    </w:pPr>
    <w:rPr>
      <w:rFonts w:hint="default" w:ascii="Calibri" w:hAnsi="Calibri" w:eastAsia="宋体" w:cs="Times New Roman"/>
      <w:sz w:val="21"/>
      <w:szCs w:val="22"/>
      <w:lang w:val="en-US" w:eastAsia="zh-CN" w:bidi="ar-SA"/>
    </w:rPr>
  </w:style>
  <w:style w:type="paragraph" w:styleId="720" w:customStyle="1">
    <w:name w:val="Normal_19"/>
    <w:next w:val="721"/>
    <w:uiPriority w:val="0"/>
    <w:qFormat/>
    <w:rPr>
      <w:rFonts w:hint="default" w:ascii="黑体" w:hAnsi="黑体" w:eastAsia="黑体" w:cs="黑体"/>
      <w:b/>
      <w:sz w:val="32"/>
      <w:szCs w:val="24"/>
      <w:lang w:val="en-US" w:eastAsia="zh-CN" w:bidi="ar-SA"/>
    </w:rPr>
  </w:style>
  <w:style w:type="paragraph" w:styleId="721" w:customStyle="1">
    <w:name w:val="正文1"/>
    <w:next w:val="722"/>
    <w:uiPriority w:val="0"/>
    <w:qFormat/>
    <w:rPr>
      <w:rFonts w:hint="default" w:ascii="Times New Roman" w:hAnsi="Times New Roman" w:eastAsia="Times New Roman" w:cs="Times New Roman"/>
      <w:sz w:val="24"/>
      <w:szCs w:val="24"/>
      <w:lang w:val="en-US" w:eastAsia="zh-CN" w:bidi="ar-SA"/>
    </w:rPr>
  </w:style>
  <w:style w:type="paragraph" w:styleId="722" w:customStyle="1">
    <w:name w:val="Body Text First Indent1"/>
    <w:basedOn w:val="723"/>
    <w:uiPriority w:val="99"/>
    <w:unhideWhenUsed/>
    <w:qFormat/>
    <w:pPr>
      <w:ind w:firstLine="420"/>
    </w:pPr>
  </w:style>
  <w:style w:type="paragraph" w:styleId="723" w:customStyle="1">
    <w:name w:val="Body Text1"/>
    <w:basedOn w:val="724"/>
    <w:uiPriority w:val="99"/>
    <w:unhideWhenUsed/>
    <w:qFormat/>
    <w:pPr>
      <w:spacing w:after="120"/>
    </w:pPr>
  </w:style>
  <w:style w:type="paragraph" w:styleId="724" w:customStyle="1">
    <w:name w:val="Normal11"/>
    <w:next w:val="722"/>
    <w:uiPriority w:val="0"/>
    <w:qFormat/>
    <w:pPr>
      <w:jc w:val="both"/>
      <w:widowControl w:val="off"/>
    </w:pPr>
    <w:rPr>
      <w:rFonts w:hint="default" w:ascii="Times New Roman" w:hAnsi="Times New Roman" w:eastAsia="宋体" w:cs="Times New Roman"/>
      <w:szCs w:val="21"/>
      <w:lang w:val="en-US" w:eastAsia="zh-CN" w:bidi="ar-SA"/>
    </w:rPr>
  </w:style>
  <w:style w:type="paragraph" w:styleId="725" w:customStyle="1">
    <w:name w:val="标题 411"/>
    <w:basedOn w:val="662"/>
    <w:next w:val="662"/>
    <w:link w:val="738"/>
    <w:uiPriority w:val="0"/>
    <w:qFormat/>
    <w:pPr>
      <w:jc w:val="center"/>
      <w:keepNext/>
      <w:outlineLvl w:val="3"/>
    </w:pPr>
    <w:rPr>
      <w:rFonts w:eastAsia="新宋体"/>
      <w:sz w:val="30"/>
      <w:szCs w:val="21"/>
    </w:rPr>
  </w:style>
  <w:style w:type="paragraph" w:styleId="726" w:customStyle="1">
    <w:name w:val="标题 51"/>
    <w:basedOn w:val="662"/>
    <w:next w:val="662"/>
    <w:link w:val="739"/>
    <w:uiPriority w:val="0"/>
    <w:qFormat/>
    <w:pPr>
      <w:keepLines/>
      <w:keepNext/>
      <w:spacing w:before="320" w:after="200"/>
      <w:outlineLvl w:val="4"/>
    </w:pPr>
    <w:rPr>
      <w:rFonts w:ascii="Arial" w:hAnsi="Arial" w:eastAsia="Arial" w:cs="Arial"/>
      <w:b/>
      <w:bCs/>
      <w:sz w:val="24"/>
      <w:szCs w:val="24"/>
    </w:rPr>
  </w:style>
  <w:style w:type="paragraph" w:styleId="727" w:customStyle="1">
    <w:name w:val="标题 61"/>
    <w:basedOn w:val="662"/>
    <w:next w:val="662"/>
    <w:link w:val="740"/>
    <w:uiPriority w:val="0"/>
    <w:qFormat/>
    <w:pPr>
      <w:keepLines/>
      <w:keepNext/>
      <w:spacing w:before="320" w:after="200"/>
      <w:outlineLvl w:val="5"/>
    </w:pPr>
    <w:rPr>
      <w:rFonts w:ascii="Arial" w:hAnsi="Arial" w:eastAsia="Arial" w:cs="Arial"/>
      <w:b/>
      <w:bCs/>
      <w:sz w:val="22"/>
    </w:rPr>
  </w:style>
  <w:style w:type="paragraph" w:styleId="728" w:customStyle="1">
    <w:name w:val="标题 71"/>
    <w:basedOn w:val="662"/>
    <w:next w:val="662"/>
    <w:link w:val="741"/>
    <w:uiPriority w:val="0"/>
    <w:qFormat/>
    <w:pPr>
      <w:keepLines/>
      <w:keepNext/>
      <w:spacing w:before="320" w:after="200"/>
      <w:outlineLvl w:val="6"/>
    </w:pPr>
    <w:rPr>
      <w:rFonts w:ascii="Arial" w:hAnsi="Arial" w:eastAsia="Arial" w:cs="Arial"/>
      <w:b/>
      <w:bCs/>
      <w:i/>
      <w:iCs/>
      <w:sz w:val="22"/>
    </w:rPr>
  </w:style>
  <w:style w:type="paragraph" w:styleId="729" w:customStyle="1">
    <w:name w:val="标题 81"/>
    <w:basedOn w:val="662"/>
    <w:next w:val="662"/>
    <w:link w:val="742"/>
    <w:uiPriority w:val="0"/>
    <w:qFormat/>
    <w:pPr>
      <w:keepLines/>
      <w:keepNext/>
      <w:spacing w:before="320" w:after="200"/>
      <w:outlineLvl w:val="7"/>
    </w:pPr>
    <w:rPr>
      <w:rFonts w:ascii="Arial" w:hAnsi="Arial" w:eastAsia="Arial" w:cs="Arial"/>
      <w:i/>
      <w:iCs/>
      <w:sz w:val="22"/>
    </w:rPr>
  </w:style>
  <w:style w:type="paragraph" w:styleId="730" w:customStyle="1">
    <w:name w:val="标题 91"/>
    <w:basedOn w:val="662"/>
    <w:next w:val="662"/>
    <w:link w:val="743"/>
    <w:uiPriority w:val="0"/>
    <w:qFormat/>
    <w:pPr>
      <w:keepLines/>
      <w:keepNext/>
      <w:spacing w:before="320" w:after="200"/>
      <w:outlineLvl w:val="8"/>
    </w:pPr>
    <w:rPr>
      <w:rFonts w:ascii="Arial" w:hAnsi="Arial" w:eastAsia="Arial" w:cs="Arial"/>
      <w:i/>
      <w:iCs/>
      <w:szCs w:val="21"/>
    </w:rPr>
  </w:style>
  <w:style w:type="character" w:styleId="731" w:customStyle="1">
    <w:name w:val="默认段落字体11"/>
    <w:link w:val="662"/>
    <w:uiPriority w:val="1"/>
    <w:unhideWhenUsed/>
    <w:qFormat/>
  </w:style>
  <w:style w:type="table" w:styleId="732" w:customStyle="1">
    <w:name w:val="普通表格1"/>
    <w:uiPriority w:val="99"/>
    <w:unhideWhenUsed/>
    <w:qFormat/>
    <w:tblPr/>
  </w:style>
  <w:style w:type="character" w:styleId="733" w:customStyle="1">
    <w:name w:val="页码1"/>
    <w:link w:val="662"/>
    <w:uiPriority w:val="0"/>
    <w:qFormat/>
    <w:rPr>
      <w:rFonts w:ascii="Calibri" w:hAnsi="Calibri"/>
      <w:sz w:val="21"/>
      <w:szCs w:val="22"/>
      <w:lang w:val="en-US" w:eastAsia="zh-CN" w:bidi="ar-SA"/>
    </w:rPr>
  </w:style>
  <w:style w:type="character" w:styleId="734" w:customStyle="1">
    <w:name w:val="标题 1 字符"/>
    <w:link w:val="715"/>
    <w:uiPriority w:val="0"/>
    <w:qFormat/>
    <w:rPr>
      <w:rFonts w:ascii="Arial" w:hAnsi="Arial" w:eastAsia="Arial" w:cs="Arial"/>
      <w:sz w:val="40"/>
      <w:szCs w:val="40"/>
    </w:rPr>
  </w:style>
  <w:style w:type="character" w:styleId="735" w:customStyle="1">
    <w:name w:val="标题 2 字符"/>
    <w:link w:val="716"/>
    <w:uiPriority w:val="0"/>
    <w:qFormat/>
    <w:rPr>
      <w:rFonts w:ascii="Arial" w:hAnsi="Arial" w:eastAsia="Arial" w:cs="Arial"/>
      <w:sz w:val="34"/>
    </w:rPr>
  </w:style>
  <w:style w:type="character" w:styleId="736" w:customStyle="1">
    <w:name w:val="正文缩进 字符"/>
    <w:link w:val="717"/>
    <w:uiPriority w:val="0"/>
    <w:qFormat/>
    <w:rPr>
      <w:rFonts w:ascii="宋体" w:hAnsi="Calibri"/>
      <w:color w:val="000000"/>
      <w:sz w:val="24"/>
    </w:rPr>
  </w:style>
  <w:style w:type="character" w:styleId="737" w:customStyle="1">
    <w:name w:val="标题 3 字符"/>
    <w:link w:val="718"/>
    <w:uiPriority w:val="0"/>
    <w:qFormat/>
    <w:rPr>
      <w:rFonts w:ascii="Arial" w:hAnsi="Arial" w:eastAsia="Arial" w:cs="Arial"/>
      <w:sz w:val="30"/>
      <w:szCs w:val="30"/>
    </w:rPr>
  </w:style>
  <w:style w:type="character" w:styleId="738" w:customStyle="1">
    <w:name w:val="标题 4 字符"/>
    <w:link w:val="725"/>
    <w:uiPriority w:val="0"/>
    <w:qFormat/>
    <w:rPr>
      <w:rFonts w:ascii="Arial" w:hAnsi="Arial" w:eastAsia="Arial" w:cs="Arial"/>
      <w:b/>
      <w:bCs/>
      <w:sz w:val="26"/>
      <w:szCs w:val="26"/>
    </w:rPr>
  </w:style>
  <w:style w:type="character" w:styleId="739" w:customStyle="1">
    <w:name w:val="标题 5 字符"/>
    <w:link w:val="726"/>
    <w:uiPriority w:val="0"/>
    <w:qFormat/>
    <w:rPr>
      <w:rFonts w:ascii="Arial" w:hAnsi="Arial" w:eastAsia="Arial" w:cs="Arial"/>
      <w:b/>
      <w:bCs/>
      <w:sz w:val="24"/>
      <w:szCs w:val="24"/>
    </w:rPr>
  </w:style>
  <w:style w:type="character" w:styleId="740" w:customStyle="1">
    <w:name w:val="标题 6 字符"/>
    <w:link w:val="727"/>
    <w:uiPriority w:val="0"/>
    <w:qFormat/>
    <w:rPr>
      <w:rFonts w:ascii="Arial" w:hAnsi="Arial" w:eastAsia="Arial" w:cs="Arial"/>
      <w:b/>
      <w:bCs/>
      <w:sz w:val="22"/>
      <w:szCs w:val="22"/>
    </w:rPr>
  </w:style>
  <w:style w:type="character" w:styleId="741" w:customStyle="1">
    <w:name w:val="标题 7 字符"/>
    <w:link w:val="728"/>
    <w:uiPriority w:val="0"/>
    <w:qFormat/>
    <w:rPr>
      <w:rFonts w:ascii="Arial" w:hAnsi="Arial" w:eastAsia="Arial" w:cs="Arial"/>
      <w:b/>
      <w:bCs/>
      <w:i/>
      <w:iCs/>
      <w:sz w:val="22"/>
      <w:szCs w:val="22"/>
    </w:rPr>
  </w:style>
  <w:style w:type="character" w:styleId="742" w:customStyle="1">
    <w:name w:val="标题 8 字符"/>
    <w:link w:val="729"/>
    <w:uiPriority w:val="0"/>
    <w:qFormat/>
    <w:rPr>
      <w:rFonts w:ascii="Arial" w:hAnsi="Arial" w:eastAsia="Arial" w:cs="Arial"/>
      <w:i/>
      <w:iCs/>
      <w:sz w:val="22"/>
      <w:szCs w:val="22"/>
    </w:rPr>
  </w:style>
  <w:style w:type="character" w:styleId="743" w:customStyle="1">
    <w:name w:val="标题 9 字符"/>
    <w:link w:val="730"/>
    <w:uiPriority w:val="0"/>
    <w:qFormat/>
    <w:rPr>
      <w:rFonts w:ascii="Arial" w:hAnsi="Arial" w:eastAsia="Arial" w:cs="Arial"/>
      <w:i/>
      <w:iCs/>
      <w:sz w:val="21"/>
      <w:szCs w:val="21"/>
    </w:rPr>
  </w:style>
  <w:style w:type="paragraph" w:styleId="744" w:customStyle="1">
    <w:name w:val="列表 31"/>
    <w:basedOn w:val="662"/>
    <w:uiPriority w:val="0"/>
    <w:qFormat/>
    <w:pPr>
      <w:ind w:left="100" w:hanging="200"/>
    </w:pPr>
    <w:rPr>
      <w:rFonts w:ascii="Times New Roman" w:hAnsi="Times New Roman"/>
      <w:szCs w:val="21"/>
    </w:rPr>
  </w:style>
  <w:style w:type="paragraph" w:styleId="745" w:customStyle="1">
    <w:name w:val="目录 71"/>
    <w:basedOn w:val="662"/>
    <w:next w:val="662"/>
    <w:uiPriority w:val="0"/>
    <w:unhideWhenUsed/>
    <w:qFormat/>
    <w:pPr>
      <w:ind w:left="1701"/>
      <w:spacing w:after="57"/>
    </w:pPr>
  </w:style>
  <w:style w:type="paragraph" w:styleId="746" w:customStyle="1">
    <w:name w:val="题注1"/>
    <w:basedOn w:val="662"/>
    <w:next w:val="662"/>
    <w:uiPriority w:val="35"/>
    <w:qFormat/>
    <w:pPr>
      <w:spacing w:line="276" w:lineRule="auto"/>
    </w:pPr>
    <w:rPr>
      <w:b/>
      <w:bCs/>
      <w:color w:val="5b9bd5"/>
      <w:sz w:val="18"/>
      <w:szCs w:val="18"/>
    </w:rPr>
  </w:style>
  <w:style w:type="paragraph" w:styleId="747" w:customStyle="1">
    <w:name w:val="文档结构图1"/>
    <w:basedOn w:val="662"/>
    <w:link w:val="748"/>
    <w:uiPriority w:val="0"/>
    <w:semiHidden/>
    <w:qFormat/>
    <w:pPr>
      <w:shd w:val="clear" w:color="auto" w:fill="000080"/>
    </w:pPr>
    <w:rPr>
      <w:rFonts w:ascii="Times New Roman" w:hAnsi="Times New Roman"/>
      <w:szCs w:val="21"/>
    </w:rPr>
  </w:style>
  <w:style w:type="character" w:styleId="748" w:customStyle="1">
    <w:name w:val="文档结构图 字符"/>
    <w:link w:val="747"/>
    <w:uiPriority w:val="0"/>
    <w:semiHidden/>
    <w:qFormat/>
    <w:rPr>
      <w:sz w:val="21"/>
      <w:szCs w:val="21"/>
      <w:shd w:val="clear" w:color="auto" w:fill="000080"/>
    </w:rPr>
  </w:style>
  <w:style w:type="paragraph" w:styleId="749" w:customStyle="1">
    <w:name w:val="批注文字1"/>
    <w:basedOn w:val="662"/>
    <w:link w:val="750"/>
    <w:uiPriority w:val="0"/>
    <w:semiHidden/>
    <w:qFormat/>
    <w:pPr>
      <w:jc w:val="left"/>
    </w:pPr>
    <w:rPr>
      <w:rFonts w:ascii="Times New Roman" w:hAnsi="Times New Roman"/>
      <w:szCs w:val="21"/>
    </w:rPr>
  </w:style>
  <w:style w:type="character" w:styleId="750" w:customStyle="1">
    <w:name w:val="批注文字 字符"/>
    <w:link w:val="749"/>
    <w:uiPriority w:val="0"/>
    <w:semiHidden/>
    <w:qFormat/>
    <w:rPr>
      <w:sz w:val="21"/>
      <w:szCs w:val="21"/>
    </w:rPr>
  </w:style>
  <w:style w:type="paragraph" w:styleId="751" w:customStyle="1">
    <w:name w:val="正文文本 31"/>
    <w:basedOn w:val="662"/>
    <w:link w:val="752"/>
    <w:uiPriority w:val="0"/>
    <w:qFormat/>
    <w:rPr>
      <w:rFonts w:ascii="仿宋_GB2312" w:hAnsi="Arial" w:eastAsia="仿宋_GB2312"/>
      <w:sz w:val="32"/>
      <w:szCs w:val="32"/>
    </w:rPr>
  </w:style>
  <w:style w:type="character" w:styleId="752" w:customStyle="1">
    <w:name w:val="正文文本 3 字符"/>
    <w:link w:val="751"/>
    <w:uiPriority w:val="0"/>
    <w:qFormat/>
    <w:rPr>
      <w:rFonts w:ascii="仿宋_GB2312" w:hAnsi="Arial" w:eastAsia="仿宋_GB2312"/>
      <w:sz w:val="32"/>
      <w:szCs w:val="32"/>
    </w:rPr>
  </w:style>
  <w:style w:type="paragraph" w:styleId="753" w:customStyle="1">
    <w:name w:val="正文文本111"/>
    <w:basedOn w:val="662"/>
    <w:uiPriority w:val="0"/>
    <w:semiHidden/>
    <w:qFormat/>
    <w:rPr>
      <w:rFonts w:ascii="仿宋" w:hAnsi="仿宋" w:eastAsia="仿宋" w:cs="仿宋"/>
      <w:sz w:val="32"/>
      <w:szCs w:val="32"/>
      <w:lang w:val="en-US" w:eastAsia="en-US" w:bidi="ar-SA"/>
    </w:rPr>
  </w:style>
  <w:style w:type="paragraph" w:styleId="754" w:customStyle="1">
    <w:name w:val="正文文本缩进111"/>
    <w:basedOn w:val="662"/>
    <w:link w:val="755"/>
    <w:uiPriority w:val="0"/>
    <w:qFormat/>
    <w:pPr>
      <w:ind w:firstLine="225"/>
    </w:pPr>
    <w:rPr>
      <w:rFonts w:ascii="仿宋_GB2312" w:eastAsia="仿宋_GB2312"/>
      <w:sz w:val="32"/>
    </w:rPr>
  </w:style>
  <w:style w:type="character" w:styleId="755" w:customStyle="1">
    <w:name w:val="正文文本缩进 字符1"/>
    <w:link w:val="754"/>
    <w:uiPriority w:val="0"/>
    <w:qFormat/>
    <w:rPr>
      <w:rFonts w:ascii="仿宋_GB2312" w:hAnsi="Calibri" w:eastAsia="仿宋_GB2312"/>
      <w:sz w:val="32"/>
      <w:szCs w:val="22"/>
    </w:rPr>
  </w:style>
  <w:style w:type="paragraph" w:styleId="756" w:customStyle="1">
    <w:name w:val="列表 21"/>
    <w:basedOn w:val="662"/>
    <w:uiPriority w:val="0"/>
    <w:qFormat/>
    <w:pPr>
      <w:ind w:left="100" w:hanging="200"/>
    </w:pPr>
    <w:rPr>
      <w:rFonts w:ascii="Times New Roman" w:hAnsi="Times New Roman"/>
      <w:szCs w:val="21"/>
    </w:rPr>
  </w:style>
  <w:style w:type="paragraph" w:styleId="757" w:customStyle="1">
    <w:name w:val="目录 51"/>
    <w:basedOn w:val="662"/>
    <w:next w:val="662"/>
    <w:uiPriority w:val="0"/>
    <w:unhideWhenUsed/>
    <w:qFormat/>
    <w:pPr>
      <w:ind w:left="1134"/>
      <w:spacing w:after="57"/>
    </w:pPr>
  </w:style>
  <w:style w:type="paragraph" w:styleId="758" w:customStyle="1">
    <w:name w:val="目录 31"/>
    <w:basedOn w:val="662"/>
    <w:next w:val="662"/>
    <w:uiPriority w:val="0"/>
    <w:unhideWhenUsed/>
    <w:qFormat/>
    <w:pPr>
      <w:ind w:left="567"/>
      <w:spacing w:after="57"/>
    </w:pPr>
  </w:style>
  <w:style w:type="paragraph" w:styleId="759" w:customStyle="1">
    <w:name w:val="纯文本11"/>
    <w:basedOn w:val="662"/>
    <w:link w:val="760"/>
    <w:uiPriority w:val="0"/>
    <w:qFormat/>
    <w:rPr>
      <w:rFonts w:ascii="宋体" w:hAnsi="Courier New" w:cs="Courier New"/>
      <w:szCs w:val="21"/>
    </w:rPr>
  </w:style>
  <w:style w:type="character" w:styleId="760" w:customStyle="1">
    <w:name w:val="纯文本 字符"/>
    <w:link w:val="759"/>
    <w:uiPriority w:val="0"/>
    <w:qFormat/>
    <w:rPr>
      <w:rFonts w:ascii="宋体" w:hAnsi="Courier New" w:cs="Courier New"/>
      <w:sz w:val="21"/>
      <w:szCs w:val="21"/>
    </w:rPr>
  </w:style>
  <w:style w:type="paragraph" w:styleId="761" w:customStyle="1">
    <w:name w:val="目录 81"/>
    <w:basedOn w:val="662"/>
    <w:next w:val="662"/>
    <w:uiPriority w:val="0"/>
    <w:unhideWhenUsed/>
    <w:qFormat/>
    <w:pPr>
      <w:ind w:left="1984"/>
      <w:spacing w:after="57"/>
    </w:pPr>
  </w:style>
  <w:style w:type="paragraph" w:styleId="762" w:customStyle="1">
    <w:name w:val="日期1"/>
    <w:basedOn w:val="662"/>
    <w:next w:val="662"/>
    <w:link w:val="763"/>
    <w:uiPriority w:val="0"/>
    <w:qFormat/>
    <w:rPr>
      <w:rFonts w:ascii="Times New Roman" w:hAnsi="Times New Roman"/>
      <w:sz w:val="24"/>
      <w:szCs w:val="24"/>
    </w:rPr>
  </w:style>
  <w:style w:type="character" w:styleId="763" w:customStyle="1">
    <w:name w:val="日期 字符"/>
    <w:link w:val="762"/>
    <w:uiPriority w:val="0"/>
    <w:qFormat/>
    <w:rPr>
      <w:sz w:val="24"/>
      <w:szCs w:val="24"/>
    </w:rPr>
  </w:style>
  <w:style w:type="paragraph" w:styleId="764" w:customStyle="1">
    <w:name w:val="正文文本缩进 21"/>
    <w:basedOn w:val="662"/>
    <w:link w:val="765"/>
    <w:uiPriority w:val="0"/>
    <w:qFormat/>
    <w:pPr>
      <w:ind w:left="630" w:firstLine="645"/>
    </w:pPr>
    <w:rPr>
      <w:rFonts w:ascii="Arial" w:hAnsi="Arial" w:eastAsia="仿宋_GB2312" w:cs="Arial"/>
      <w:sz w:val="32"/>
      <w:szCs w:val="32"/>
    </w:rPr>
  </w:style>
  <w:style w:type="character" w:styleId="765" w:customStyle="1">
    <w:name w:val="正文文本缩进 2 字符"/>
    <w:link w:val="764"/>
    <w:uiPriority w:val="0"/>
    <w:qFormat/>
    <w:rPr>
      <w:rFonts w:ascii="Arial" w:hAnsi="Arial" w:eastAsia="仿宋_GB2312" w:cs="Arial"/>
      <w:sz w:val="32"/>
      <w:szCs w:val="32"/>
    </w:rPr>
  </w:style>
  <w:style w:type="paragraph" w:styleId="766" w:customStyle="1">
    <w:name w:val="尾注文本1"/>
    <w:basedOn w:val="662"/>
    <w:link w:val="767"/>
    <w:uiPriority w:val="99"/>
    <w:unhideWhenUsed/>
    <w:qFormat/>
    <w:rPr>
      <w:sz w:val="20"/>
    </w:rPr>
  </w:style>
  <w:style w:type="character" w:styleId="767" w:customStyle="1">
    <w:name w:val="尾注文本 字符"/>
    <w:link w:val="766"/>
    <w:uiPriority w:val="99"/>
    <w:qFormat/>
    <w:rPr>
      <w:sz w:val="20"/>
    </w:rPr>
  </w:style>
  <w:style w:type="paragraph" w:styleId="768" w:customStyle="1">
    <w:name w:val="批注框文本1"/>
    <w:basedOn w:val="662"/>
    <w:link w:val="769"/>
    <w:uiPriority w:val="0"/>
    <w:qFormat/>
    <w:rPr>
      <w:rFonts w:ascii="Times New Roman" w:hAnsi="Times New Roman"/>
      <w:sz w:val="18"/>
      <w:szCs w:val="18"/>
    </w:rPr>
  </w:style>
  <w:style w:type="character" w:styleId="769" w:customStyle="1">
    <w:name w:val="批注框文本 字符"/>
    <w:link w:val="768"/>
    <w:uiPriority w:val="0"/>
    <w:qFormat/>
    <w:rPr>
      <w:sz w:val="18"/>
      <w:szCs w:val="18"/>
    </w:rPr>
  </w:style>
  <w:style w:type="paragraph" w:styleId="770" w:customStyle="1">
    <w:name w:val="页脚11"/>
    <w:basedOn w:val="662"/>
    <w:link w:val="771"/>
    <w:uiPriority w:val="99"/>
    <w:qFormat/>
    <w:pPr>
      <w:jc w:val="left"/>
      <w:tabs>
        <w:tab w:val="center" w:pos="4153" w:leader="none"/>
        <w:tab w:val="right" w:pos="8306" w:leader="none"/>
      </w:tabs>
    </w:pPr>
    <w:rPr>
      <w:sz w:val="18"/>
      <w:szCs w:val="18"/>
    </w:rPr>
  </w:style>
  <w:style w:type="character" w:styleId="771" w:customStyle="1">
    <w:name w:val="页脚 字符"/>
    <w:link w:val="770"/>
    <w:uiPriority w:val="99"/>
    <w:qFormat/>
  </w:style>
  <w:style w:type="paragraph" w:styleId="772" w:customStyle="1">
    <w:name w:val="页眉11"/>
    <w:basedOn w:val="662"/>
    <w:link w:val="773"/>
    <w:uiPriority w:val="0"/>
    <w:qFormat/>
    <w:pPr>
      <w:jc w:val="center"/>
      <w:tabs>
        <w:tab w:val="center" w:pos="4153" w:leader="none"/>
        <w:tab w:val="right" w:pos="8306" w:leader="none"/>
      </w:tabs>
    </w:pPr>
    <w:rPr>
      <w:sz w:val="18"/>
      <w:szCs w:val="18"/>
    </w:rPr>
  </w:style>
  <w:style w:type="character" w:styleId="773" w:customStyle="1">
    <w:name w:val="页眉 字符"/>
    <w:link w:val="772"/>
    <w:uiPriority w:val="0"/>
    <w:qFormat/>
    <w:rPr>
      <w:rFonts w:ascii="Calibri" w:hAnsi="Calibri"/>
      <w:sz w:val="18"/>
      <w:szCs w:val="18"/>
    </w:rPr>
  </w:style>
  <w:style w:type="paragraph" w:styleId="774" w:customStyle="1">
    <w:name w:val="目录 11"/>
    <w:basedOn w:val="662"/>
    <w:next w:val="662"/>
    <w:uiPriority w:val="0"/>
    <w:qFormat/>
    <w:pPr>
      <w:jc w:val="left"/>
      <w:spacing w:before="120" w:after="120"/>
    </w:pPr>
    <w:rPr>
      <w:rFonts w:cs="Calibri"/>
      <w:b/>
      <w:bCs/>
      <w:caps/>
      <w:sz w:val="20"/>
      <w:szCs w:val="20"/>
    </w:rPr>
  </w:style>
  <w:style w:type="paragraph" w:styleId="775" w:customStyle="1">
    <w:name w:val="目录 41"/>
    <w:basedOn w:val="662"/>
    <w:next w:val="662"/>
    <w:uiPriority w:val="0"/>
    <w:unhideWhenUsed/>
    <w:qFormat/>
    <w:pPr>
      <w:ind w:left="850"/>
      <w:spacing w:after="57"/>
    </w:pPr>
  </w:style>
  <w:style w:type="paragraph" w:styleId="776" w:customStyle="1">
    <w:name w:val="副标题1"/>
    <w:basedOn w:val="662"/>
    <w:next w:val="662"/>
    <w:link w:val="777"/>
    <w:uiPriority w:val="11"/>
    <w:qFormat/>
    <w:pPr>
      <w:spacing w:before="200" w:after="200"/>
    </w:pPr>
    <w:rPr>
      <w:sz w:val="24"/>
      <w:szCs w:val="24"/>
    </w:rPr>
  </w:style>
  <w:style w:type="character" w:styleId="777" w:customStyle="1">
    <w:name w:val="副标题 字符"/>
    <w:link w:val="776"/>
    <w:uiPriority w:val="11"/>
    <w:qFormat/>
    <w:rPr>
      <w:sz w:val="24"/>
      <w:szCs w:val="24"/>
    </w:rPr>
  </w:style>
  <w:style w:type="paragraph" w:styleId="778" w:customStyle="1">
    <w:name w:val="列表1"/>
    <w:basedOn w:val="662"/>
    <w:uiPriority w:val="0"/>
    <w:qFormat/>
    <w:pPr>
      <w:ind w:left="200" w:hanging="200"/>
    </w:pPr>
    <w:rPr>
      <w:rFonts w:ascii="Times New Roman" w:hAnsi="Times New Roman"/>
      <w:szCs w:val="21"/>
    </w:rPr>
  </w:style>
  <w:style w:type="paragraph" w:styleId="779" w:customStyle="1">
    <w:name w:val="脚注文本11"/>
    <w:basedOn w:val="662"/>
    <w:link w:val="780"/>
    <w:uiPriority w:val="99"/>
    <w:unhideWhenUsed/>
    <w:qFormat/>
    <w:pPr>
      <w:spacing w:after="40"/>
    </w:pPr>
    <w:rPr>
      <w:sz w:val="18"/>
    </w:rPr>
  </w:style>
  <w:style w:type="character" w:styleId="780" w:customStyle="1">
    <w:name w:val="脚注文本 字符"/>
    <w:link w:val="779"/>
    <w:uiPriority w:val="99"/>
    <w:qFormat/>
    <w:rPr>
      <w:sz w:val="18"/>
    </w:rPr>
  </w:style>
  <w:style w:type="paragraph" w:styleId="781" w:customStyle="1">
    <w:name w:val="目录 61"/>
    <w:basedOn w:val="662"/>
    <w:next w:val="662"/>
    <w:uiPriority w:val="0"/>
    <w:unhideWhenUsed/>
    <w:qFormat/>
    <w:pPr>
      <w:ind w:left="1417"/>
      <w:spacing w:after="57"/>
    </w:pPr>
  </w:style>
  <w:style w:type="paragraph" w:styleId="782" w:customStyle="1">
    <w:name w:val="正文文本缩进 31"/>
    <w:basedOn w:val="662"/>
    <w:link w:val="783"/>
    <w:uiPriority w:val="0"/>
    <w:qFormat/>
    <w:pPr>
      <w:ind w:left="645" w:firstLine="645"/>
    </w:pPr>
    <w:rPr>
      <w:rFonts w:ascii="Arial" w:hAnsi="Arial" w:eastAsia="仿宋_GB2312" w:cs="Arial"/>
      <w:color w:val="ffff00"/>
      <w:sz w:val="32"/>
      <w:szCs w:val="32"/>
    </w:rPr>
  </w:style>
  <w:style w:type="character" w:styleId="783" w:customStyle="1">
    <w:name w:val="正文文本缩进 3 字符"/>
    <w:link w:val="782"/>
    <w:uiPriority w:val="0"/>
    <w:qFormat/>
    <w:rPr>
      <w:rFonts w:ascii="Arial" w:hAnsi="Arial" w:eastAsia="仿宋_GB2312" w:cs="Arial"/>
      <w:color w:val="ffff00"/>
      <w:sz w:val="32"/>
      <w:szCs w:val="32"/>
    </w:rPr>
  </w:style>
  <w:style w:type="paragraph" w:styleId="784" w:customStyle="1">
    <w:name w:val="图表目录1"/>
    <w:basedOn w:val="662"/>
    <w:next w:val="662"/>
    <w:uiPriority w:val="0"/>
    <w:unhideWhenUsed/>
    <w:qFormat/>
  </w:style>
  <w:style w:type="paragraph" w:styleId="785" w:customStyle="1">
    <w:name w:val="目录 21"/>
    <w:basedOn w:val="662"/>
    <w:next w:val="662"/>
    <w:uiPriority w:val="0"/>
    <w:qFormat/>
    <w:pPr>
      <w:ind w:left="210"/>
      <w:jc w:val="left"/>
    </w:pPr>
    <w:rPr>
      <w:rFonts w:cs="Calibri"/>
      <w:smallCaps/>
      <w:sz w:val="20"/>
      <w:szCs w:val="20"/>
    </w:rPr>
  </w:style>
  <w:style w:type="paragraph" w:styleId="786" w:customStyle="1">
    <w:name w:val="目录 91"/>
    <w:basedOn w:val="662"/>
    <w:next w:val="662"/>
    <w:uiPriority w:val="0"/>
    <w:unhideWhenUsed/>
    <w:qFormat/>
    <w:pPr>
      <w:ind w:left="2268"/>
      <w:spacing w:after="57"/>
    </w:pPr>
  </w:style>
  <w:style w:type="paragraph" w:styleId="787" w:customStyle="1">
    <w:name w:val="正文文本 21"/>
    <w:basedOn w:val="662"/>
    <w:link w:val="788"/>
    <w:uiPriority w:val="0"/>
    <w:qFormat/>
    <w:pPr>
      <w:jc w:val="center"/>
      <w:widowControl/>
    </w:pPr>
    <w:rPr>
      <w:rFonts w:ascii="楷体_GB2312" w:hAnsi="Times New Roman" w:eastAsia="楷体_GB2312"/>
      <w:sz w:val="28"/>
      <w:szCs w:val="28"/>
    </w:rPr>
  </w:style>
  <w:style w:type="character" w:styleId="788" w:customStyle="1">
    <w:name w:val="正文文本 2 字符"/>
    <w:link w:val="787"/>
    <w:uiPriority w:val="0"/>
    <w:qFormat/>
    <w:rPr>
      <w:rFonts w:ascii="楷体_GB2312" w:eastAsia="楷体_GB2312"/>
      <w:sz w:val="28"/>
      <w:szCs w:val="28"/>
    </w:rPr>
  </w:style>
  <w:style w:type="paragraph" w:styleId="789" w:customStyle="1">
    <w:name w:val="HTML 预设格式1"/>
    <w:basedOn w:val="662"/>
    <w:link w:val="790"/>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790" w:customStyle="1">
    <w:name w:val="HTML 预设格式 字符"/>
    <w:link w:val="789"/>
    <w:uiPriority w:val="99"/>
    <w:qFormat/>
    <w:rPr>
      <w:rFonts w:ascii="宋体" w:hAnsi="宋体"/>
      <w:sz w:val="24"/>
      <w:szCs w:val="24"/>
    </w:rPr>
  </w:style>
  <w:style w:type="paragraph" w:styleId="791" w:customStyle="1">
    <w:name w:val="普通(网站)111"/>
    <w:basedOn w:val="662"/>
    <w:uiPriority w:val="99"/>
    <w:qFormat/>
    <w:pPr>
      <w:jc w:val="left"/>
      <w:spacing w:before="100" w:beforeAutospacing="1" w:after="100" w:afterAutospacing="1"/>
      <w:widowControl/>
    </w:pPr>
    <w:rPr>
      <w:rFonts w:ascii="宋体" w:hAnsi="宋体" w:cs="宋体"/>
      <w:sz w:val="24"/>
      <w:szCs w:val="24"/>
    </w:rPr>
  </w:style>
  <w:style w:type="paragraph" w:styleId="792" w:customStyle="1">
    <w:name w:val="索引 11"/>
    <w:basedOn w:val="662"/>
    <w:next w:val="662"/>
    <w:uiPriority w:val="0"/>
    <w:semiHidden/>
    <w:qFormat/>
    <w:pPr>
      <w:spacing w:line="240" w:lineRule="atLeast"/>
    </w:pPr>
    <w:rPr>
      <w:rFonts w:ascii="Times New Roman" w:hAnsi="Times New Roman"/>
      <w:b/>
      <w:bCs/>
      <w:szCs w:val="21"/>
    </w:rPr>
  </w:style>
  <w:style w:type="paragraph" w:styleId="793" w:customStyle="1">
    <w:name w:val="标题11"/>
    <w:basedOn w:val="662"/>
    <w:next w:val="662"/>
    <w:link w:val="794"/>
    <w:uiPriority w:val="10"/>
    <w:qFormat/>
    <w:pPr>
      <w:contextualSpacing/>
      <w:spacing w:before="300" w:after="200"/>
    </w:pPr>
    <w:rPr>
      <w:sz w:val="48"/>
      <w:szCs w:val="48"/>
    </w:rPr>
  </w:style>
  <w:style w:type="character" w:styleId="794" w:customStyle="1">
    <w:name w:val="标题 字符"/>
    <w:link w:val="793"/>
    <w:uiPriority w:val="10"/>
    <w:qFormat/>
    <w:rPr>
      <w:sz w:val="48"/>
      <w:szCs w:val="48"/>
    </w:rPr>
  </w:style>
  <w:style w:type="paragraph" w:styleId="795" w:customStyle="1">
    <w:name w:val="批注主题1"/>
    <w:basedOn w:val="749"/>
    <w:next w:val="749"/>
    <w:link w:val="796"/>
    <w:uiPriority w:val="0"/>
    <w:semiHidden/>
    <w:qFormat/>
    <w:rPr>
      <w:b/>
      <w:bCs/>
    </w:rPr>
  </w:style>
  <w:style w:type="character" w:styleId="796" w:customStyle="1">
    <w:name w:val="批注主题 字符"/>
    <w:link w:val="795"/>
    <w:uiPriority w:val="0"/>
    <w:semiHidden/>
    <w:qFormat/>
    <w:rPr>
      <w:b/>
      <w:bCs/>
      <w:sz w:val="21"/>
      <w:szCs w:val="21"/>
    </w:rPr>
  </w:style>
  <w:style w:type="paragraph" w:styleId="797" w:customStyle="1">
    <w:name w:val="正文首行缩进 2111"/>
    <w:basedOn w:val="754"/>
    <w:link w:val="798"/>
    <w:uiPriority w:val="0"/>
    <w:qFormat/>
    <w:pPr>
      <w:ind w:firstLine="420"/>
      <w:spacing w:line="360" w:lineRule="auto"/>
    </w:pPr>
    <w:rPr>
      <w:rFonts w:ascii="宋体" w:hAnsi="宋体" w:eastAsia="宋体"/>
      <w:sz w:val="21"/>
      <w:szCs w:val="20"/>
    </w:rPr>
  </w:style>
  <w:style w:type="character" w:styleId="798" w:customStyle="1">
    <w:name w:val="正文文本首行缩进 2 字符"/>
    <w:link w:val="797"/>
    <w:uiPriority w:val="0"/>
    <w:qFormat/>
    <w:rPr>
      <w:rFonts w:ascii="宋体" w:hAnsi="宋体" w:eastAsia="仿宋_GB2312"/>
      <w:sz w:val="21"/>
      <w:szCs w:val="22"/>
    </w:rPr>
  </w:style>
  <w:style w:type="table" w:styleId="799" w:customStyle="1">
    <w:name w:val="网格型1"/>
    <w:basedOn w:val="732"/>
    <w:uiPriority w:val="0"/>
    <w:qFormat/>
    <w:pPr>
      <w:jc w:val="both"/>
      <w:widowControl w:val="off"/>
    </w:pPr>
    <w:tblPr/>
  </w:style>
  <w:style w:type="character" w:styleId="800" w:customStyle="1">
    <w:name w:val="要点1"/>
    <w:link w:val="662"/>
    <w:uiPriority w:val="0"/>
    <w:qFormat/>
    <w:rPr>
      <w:b/>
      <w:bCs/>
    </w:rPr>
  </w:style>
  <w:style w:type="character" w:styleId="801" w:customStyle="1">
    <w:name w:val="尾注引用1"/>
    <w:link w:val="662"/>
    <w:uiPriority w:val="99"/>
    <w:unhideWhenUsed/>
    <w:qFormat/>
    <w:rPr>
      <w:vertAlign w:val="superscript"/>
    </w:rPr>
  </w:style>
  <w:style w:type="character" w:styleId="802" w:customStyle="1">
    <w:name w:val="页码2"/>
    <w:link w:val="662"/>
    <w:uiPriority w:val="0"/>
    <w:qFormat/>
  </w:style>
  <w:style w:type="character" w:styleId="803" w:customStyle="1">
    <w:name w:val="已访问的超链接1"/>
    <w:link w:val="662"/>
    <w:uiPriority w:val="0"/>
    <w:qFormat/>
    <w:rPr>
      <w:color w:val="800080"/>
      <w:u w:val="single"/>
    </w:rPr>
  </w:style>
  <w:style w:type="character" w:styleId="804" w:customStyle="1">
    <w:name w:val="超链接1"/>
    <w:link w:val="662"/>
    <w:uiPriority w:val="0"/>
    <w:qFormat/>
    <w:rPr>
      <w:color w:val="0000ff"/>
      <w:u w:val="single"/>
    </w:rPr>
  </w:style>
  <w:style w:type="character" w:styleId="805" w:customStyle="1">
    <w:name w:val="批注引用1"/>
    <w:link w:val="662"/>
    <w:uiPriority w:val="0"/>
    <w:semiHidden/>
    <w:qFormat/>
    <w:rPr>
      <w:sz w:val="21"/>
      <w:szCs w:val="21"/>
    </w:rPr>
  </w:style>
  <w:style w:type="character" w:styleId="806" w:customStyle="1">
    <w:name w:val="脚注引用1"/>
    <w:link w:val="662"/>
    <w:uiPriority w:val="99"/>
    <w:unhideWhenUsed/>
    <w:qFormat/>
    <w:rPr>
      <w:vertAlign w:val="superscript"/>
    </w:rPr>
  </w:style>
  <w:style w:type="paragraph" w:styleId="807" w:customStyle="1">
    <w:name w:val="标题二、"/>
    <w:basedOn w:val="662"/>
    <w:uiPriority w:val="99"/>
    <w:qFormat/>
    <w:pPr>
      <w:ind w:firstLine="200"/>
      <w:spacing w:line="360" w:lineRule="auto"/>
      <w:outlineLvl w:val="2"/>
    </w:pPr>
    <w:rPr>
      <w:rFonts w:ascii="宋体" w:hAnsi="宋体"/>
      <w:b/>
    </w:rPr>
  </w:style>
  <w:style w:type="paragraph" w:styleId="808" w:customStyle="1">
    <w:name w:val="正文首行缩进 21"/>
    <w:basedOn w:val="809"/>
    <w:next w:val="662"/>
    <w:uiPriority w:val="0"/>
    <w:qFormat/>
    <w:pPr>
      <w:ind w:firstLine="420"/>
      <w:spacing w:line="360" w:lineRule="auto"/>
    </w:pPr>
    <w:rPr>
      <w:rFonts w:ascii="宋体" w:hAnsi="宋体" w:eastAsia="宋体"/>
      <w:sz w:val="21"/>
      <w:szCs w:val="20"/>
    </w:rPr>
  </w:style>
  <w:style w:type="paragraph" w:styleId="809" w:customStyle="1">
    <w:name w:val="正文文本缩进1"/>
    <w:basedOn w:val="662"/>
    <w:next w:val="810"/>
    <w:uiPriority w:val="0"/>
    <w:qFormat/>
    <w:pPr>
      <w:ind w:firstLine="645"/>
    </w:pPr>
    <w:rPr>
      <w:rFonts w:ascii="楷体_GB2312" w:eastAsia="楷体_GB2312"/>
      <w:sz w:val="32"/>
      <w:szCs w:val="32"/>
    </w:rPr>
  </w:style>
  <w:style w:type="paragraph" w:styleId="810" w:customStyle="1">
    <w:name w:val="寄信人地址1"/>
    <w:basedOn w:val="662"/>
    <w:uiPriority w:val="0"/>
    <w:qFormat/>
    <w:rPr>
      <w:rFonts w:ascii="Arial" w:hAnsi="Arial"/>
    </w:rPr>
  </w:style>
  <w:style w:type="paragraph" w:styleId="811" w:customStyle="1">
    <w:name w:val="标题 41"/>
    <w:basedOn w:val="812"/>
    <w:next w:val="662"/>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812" w:customStyle="1">
    <w:name w:val="Normal_20"/>
    <w:next w:val="813"/>
    <w:uiPriority w:val="0"/>
    <w:qFormat/>
    <w:rPr>
      <w:rFonts w:hint="default" w:ascii="黑体" w:hAnsi="黑体" w:eastAsia="黑体" w:cs="黑体"/>
      <w:b/>
      <w:sz w:val="32"/>
      <w:szCs w:val="24"/>
      <w:lang w:val="en-US" w:eastAsia="zh-CN" w:bidi="ar-SA"/>
    </w:rPr>
  </w:style>
  <w:style w:type="paragraph" w:styleId="813" w:customStyle="1">
    <w:name w:val="Body Text First Indent_2"/>
    <w:basedOn w:val="812"/>
    <w:uiPriority w:val="0"/>
    <w:qFormat/>
    <w:pPr>
      <w:ind w:firstLine="100"/>
      <w:spacing w:after="120"/>
    </w:pPr>
  </w:style>
  <w:style w:type="paragraph" w:styleId="814" w:customStyle="1">
    <w:name w:val="脚注文本1"/>
    <w:basedOn w:val="662"/>
    <w:uiPriority w:val="0"/>
    <w:qFormat/>
    <w:pPr>
      <w:jc w:val="left"/>
    </w:pPr>
    <w:rPr>
      <w:rFonts w:eastAsia="Times New Roman"/>
      <w:sz w:val="18"/>
      <w:szCs w:val="24"/>
    </w:rPr>
  </w:style>
  <w:style w:type="table" w:styleId="815" w:customStyle="1">
    <w:name w:val="Plain Table 1"/>
    <w:basedOn w:val="732"/>
    <w:uiPriority w:val="59"/>
    <w:qFormat/>
    <w:pPr>
      <w:spacing w:after="0" w:line="240" w:lineRule="auto"/>
    </w:pPr>
    <w:tblPr/>
  </w:style>
  <w:style w:type="table" w:styleId="816" w:customStyle="1">
    <w:name w:val="Plain Table 2"/>
    <w:basedOn w:val="732"/>
    <w:uiPriority w:val="59"/>
    <w:qFormat/>
    <w:pPr>
      <w:spacing w:after="0" w:line="240" w:lineRule="auto"/>
    </w:pPr>
    <w:tblPr/>
  </w:style>
  <w:style w:type="table" w:styleId="817" w:customStyle="1">
    <w:name w:val="Plain Table 3"/>
    <w:basedOn w:val="732"/>
    <w:uiPriority w:val="99"/>
    <w:qFormat/>
    <w:pPr>
      <w:spacing w:after="0" w:line="240" w:lineRule="auto"/>
    </w:pPr>
    <w:tblPr/>
  </w:style>
  <w:style w:type="table" w:styleId="818" w:customStyle="1">
    <w:name w:val="Plain Table 4"/>
    <w:basedOn w:val="732"/>
    <w:uiPriority w:val="99"/>
    <w:qFormat/>
    <w:pPr>
      <w:spacing w:after="0" w:line="240" w:lineRule="auto"/>
    </w:pPr>
    <w:tblPr/>
  </w:style>
  <w:style w:type="table" w:styleId="819" w:customStyle="1">
    <w:name w:val="Plain Table 5"/>
    <w:basedOn w:val="732"/>
    <w:uiPriority w:val="99"/>
    <w:qFormat/>
    <w:pPr>
      <w:spacing w:after="0" w:line="240" w:lineRule="auto"/>
    </w:pPr>
    <w:tblPr/>
  </w:style>
  <w:style w:type="table" w:styleId="820" w:customStyle="1">
    <w:name w:val="Grid Table 1 Light"/>
    <w:basedOn w:val="732"/>
    <w:uiPriority w:val="99"/>
    <w:qFormat/>
    <w:pPr>
      <w:spacing w:after="0" w:line="240" w:lineRule="auto"/>
    </w:pPr>
    <w:tblPr/>
  </w:style>
  <w:style w:type="table" w:styleId="821" w:customStyle="1">
    <w:name w:val="Grid Table 2"/>
    <w:basedOn w:val="732"/>
    <w:uiPriority w:val="99"/>
    <w:qFormat/>
    <w:pPr>
      <w:spacing w:after="0" w:line="240" w:lineRule="auto"/>
    </w:pPr>
    <w:tblPr/>
  </w:style>
  <w:style w:type="table" w:styleId="822" w:customStyle="1">
    <w:name w:val="Grid Table 3"/>
    <w:basedOn w:val="732"/>
    <w:uiPriority w:val="99"/>
    <w:qFormat/>
    <w:pPr>
      <w:spacing w:after="0" w:line="240" w:lineRule="auto"/>
    </w:pPr>
    <w:tblPr/>
  </w:style>
  <w:style w:type="table" w:styleId="823" w:customStyle="1">
    <w:name w:val="Grid Table 4"/>
    <w:basedOn w:val="732"/>
    <w:uiPriority w:val="59"/>
    <w:qFormat/>
    <w:pPr>
      <w:spacing w:after="0" w:line="240" w:lineRule="auto"/>
    </w:pPr>
    <w:tblPr/>
  </w:style>
  <w:style w:type="table" w:styleId="824" w:customStyle="1">
    <w:name w:val="Grid Table 5 Dark"/>
    <w:basedOn w:val="732"/>
    <w:uiPriority w:val="99"/>
    <w:qFormat/>
    <w:pPr>
      <w:spacing w:after="0" w:line="240" w:lineRule="auto"/>
    </w:pPr>
    <w:tblPr/>
  </w:style>
  <w:style w:type="table" w:styleId="825" w:customStyle="1">
    <w:name w:val="Grid Table 6 Colorful"/>
    <w:basedOn w:val="732"/>
    <w:uiPriority w:val="99"/>
    <w:qFormat/>
    <w:pPr>
      <w:spacing w:after="0" w:line="240" w:lineRule="auto"/>
    </w:pPr>
    <w:tblPr/>
  </w:style>
  <w:style w:type="table" w:styleId="826" w:customStyle="1">
    <w:name w:val="Grid Table 7 Colorful"/>
    <w:basedOn w:val="732"/>
    <w:uiPriority w:val="99"/>
    <w:qFormat/>
    <w:pPr>
      <w:spacing w:after="0" w:line="240" w:lineRule="auto"/>
    </w:pPr>
    <w:tblPr/>
  </w:style>
  <w:style w:type="table" w:styleId="827" w:customStyle="1">
    <w:name w:val="List Table 1 Light"/>
    <w:basedOn w:val="732"/>
    <w:uiPriority w:val="99"/>
    <w:qFormat/>
    <w:pPr>
      <w:spacing w:after="0" w:line="240" w:lineRule="auto"/>
    </w:pPr>
    <w:tblPr/>
  </w:style>
  <w:style w:type="table" w:styleId="828" w:customStyle="1">
    <w:name w:val="List Table 2"/>
    <w:basedOn w:val="732"/>
    <w:uiPriority w:val="99"/>
    <w:qFormat/>
    <w:pPr>
      <w:spacing w:after="0" w:line="240" w:lineRule="auto"/>
    </w:pPr>
    <w:tblPr/>
  </w:style>
  <w:style w:type="table" w:styleId="829" w:customStyle="1">
    <w:name w:val="List Table 3"/>
    <w:basedOn w:val="732"/>
    <w:uiPriority w:val="99"/>
    <w:qFormat/>
    <w:pPr>
      <w:spacing w:after="0" w:line="240" w:lineRule="auto"/>
    </w:pPr>
    <w:tblPr/>
  </w:style>
  <w:style w:type="table" w:styleId="830" w:customStyle="1">
    <w:name w:val="List Table 4"/>
    <w:basedOn w:val="732"/>
    <w:uiPriority w:val="99"/>
    <w:qFormat/>
    <w:pPr>
      <w:spacing w:after="0" w:line="240" w:lineRule="auto"/>
    </w:pPr>
    <w:tblPr/>
  </w:style>
  <w:style w:type="table" w:styleId="831" w:customStyle="1">
    <w:name w:val="List Table 5 Dark"/>
    <w:basedOn w:val="732"/>
    <w:uiPriority w:val="99"/>
    <w:qFormat/>
    <w:pPr>
      <w:spacing w:after="0" w:line="240" w:lineRule="auto"/>
    </w:pPr>
    <w:tblPr/>
  </w:style>
  <w:style w:type="table" w:styleId="832" w:customStyle="1">
    <w:name w:val="List Table 6 Colorful"/>
    <w:basedOn w:val="732"/>
    <w:uiPriority w:val="99"/>
    <w:qFormat/>
    <w:pPr>
      <w:spacing w:after="0" w:line="240" w:lineRule="auto"/>
    </w:pPr>
    <w:tblPr/>
  </w:style>
  <w:style w:type="table" w:styleId="833" w:customStyle="1">
    <w:name w:val="List Table 7 Colorful"/>
    <w:basedOn w:val="732"/>
    <w:uiPriority w:val="99"/>
    <w:qFormat/>
    <w:pPr>
      <w:spacing w:after="0" w:line="240" w:lineRule="auto"/>
    </w:pPr>
    <w:tblPr/>
  </w:style>
  <w:style w:type="paragraph" w:styleId="834" w:customStyle="1">
    <w:name w:val="TOC Heading"/>
    <w:uiPriority w:val="39"/>
    <w:unhideWhenUsed/>
    <w:qFormat/>
    <w:rPr>
      <w:rFonts w:hint="default" w:ascii="Times New Roman" w:hAnsi="Times New Roman" w:eastAsia="宋体" w:cs="Times New Roman"/>
      <w:lang w:val="en-US" w:eastAsia="zh-CN" w:bidi="ar-SA"/>
    </w:rPr>
  </w:style>
  <w:style w:type="table" w:styleId="835" w:customStyle="1">
    <w:name w:val="无格式表格 11"/>
    <w:basedOn w:val="732"/>
    <w:uiPriority w:val="59"/>
    <w:qFormat/>
    <w:tblPr/>
  </w:style>
  <w:style w:type="table" w:styleId="836" w:customStyle="1">
    <w:name w:val="无格式表格 21"/>
    <w:basedOn w:val="732"/>
    <w:uiPriority w:val="59"/>
    <w:qFormat/>
    <w:tblPr/>
  </w:style>
  <w:style w:type="table" w:styleId="837" w:customStyle="1">
    <w:name w:val="无格式表格 31"/>
    <w:basedOn w:val="732"/>
    <w:uiPriority w:val="99"/>
    <w:qFormat/>
    <w:tblPr/>
  </w:style>
  <w:style w:type="table" w:styleId="838" w:customStyle="1">
    <w:name w:val="无格式表格 41"/>
    <w:basedOn w:val="732"/>
    <w:uiPriority w:val="99"/>
    <w:qFormat/>
    <w:tblPr/>
  </w:style>
  <w:style w:type="table" w:styleId="839" w:customStyle="1">
    <w:name w:val="无格式表格 51"/>
    <w:basedOn w:val="732"/>
    <w:uiPriority w:val="99"/>
    <w:qFormat/>
    <w:tblPr/>
  </w:style>
  <w:style w:type="table" w:styleId="840" w:customStyle="1">
    <w:name w:val="网格表 1 浅色1"/>
    <w:basedOn w:val="732"/>
    <w:uiPriority w:val="99"/>
    <w:qFormat/>
    <w:tblPr/>
  </w:style>
  <w:style w:type="table" w:styleId="841" w:customStyle="1">
    <w:name w:val="网格表 21"/>
    <w:basedOn w:val="732"/>
    <w:uiPriority w:val="99"/>
    <w:qFormat/>
    <w:tblPr/>
  </w:style>
  <w:style w:type="table" w:styleId="842" w:customStyle="1">
    <w:name w:val="网格表 31"/>
    <w:basedOn w:val="732"/>
    <w:uiPriority w:val="99"/>
    <w:qFormat/>
    <w:tblPr/>
  </w:style>
  <w:style w:type="table" w:styleId="843" w:customStyle="1">
    <w:name w:val="网格表 41"/>
    <w:basedOn w:val="732"/>
    <w:uiPriority w:val="59"/>
    <w:qFormat/>
    <w:tblPr/>
  </w:style>
  <w:style w:type="table" w:styleId="844" w:customStyle="1">
    <w:name w:val="网格表 5 深色1"/>
    <w:basedOn w:val="732"/>
    <w:uiPriority w:val="99"/>
    <w:qFormat/>
    <w:tblPr/>
  </w:style>
  <w:style w:type="table" w:styleId="845" w:customStyle="1">
    <w:name w:val="网格表 6 彩色1"/>
    <w:basedOn w:val="732"/>
    <w:uiPriority w:val="99"/>
    <w:qFormat/>
    <w:tblPr/>
  </w:style>
  <w:style w:type="table" w:styleId="846" w:customStyle="1">
    <w:name w:val="网格表 7 彩色1"/>
    <w:basedOn w:val="732"/>
    <w:uiPriority w:val="99"/>
    <w:qFormat/>
    <w:tblPr/>
  </w:style>
  <w:style w:type="table" w:styleId="847" w:customStyle="1">
    <w:name w:val="清单表 1 浅色1"/>
    <w:basedOn w:val="732"/>
    <w:uiPriority w:val="99"/>
    <w:qFormat/>
    <w:tblPr/>
  </w:style>
  <w:style w:type="table" w:styleId="848" w:customStyle="1">
    <w:name w:val="清单表 21"/>
    <w:basedOn w:val="732"/>
    <w:uiPriority w:val="99"/>
    <w:qFormat/>
    <w:tblPr/>
  </w:style>
  <w:style w:type="table" w:styleId="849" w:customStyle="1">
    <w:name w:val="清单表 31"/>
    <w:basedOn w:val="732"/>
    <w:uiPriority w:val="99"/>
    <w:qFormat/>
    <w:tblPr/>
  </w:style>
  <w:style w:type="table" w:styleId="850" w:customStyle="1">
    <w:name w:val="清单表 41"/>
    <w:basedOn w:val="732"/>
    <w:uiPriority w:val="99"/>
    <w:qFormat/>
    <w:tblPr/>
  </w:style>
  <w:style w:type="table" w:styleId="851" w:customStyle="1">
    <w:name w:val="清单表 5 深色1"/>
    <w:basedOn w:val="732"/>
    <w:uiPriority w:val="99"/>
    <w:qFormat/>
    <w:tblPr/>
  </w:style>
  <w:style w:type="table" w:styleId="852" w:customStyle="1">
    <w:name w:val="清单表 6 彩色1"/>
    <w:basedOn w:val="732"/>
    <w:uiPriority w:val="99"/>
    <w:qFormat/>
    <w:tblPr/>
  </w:style>
  <w:style w:type="table" w:styleId="853" w:customStyle="1">
    <w:name w:val="清单表 7 彩色1"/>
    <w:basedOn w:val="732"/>
    <w:uiPriority w:val="99"/>
    <w:qFormat/>
    <w:tblPr/>
  </w:style>
  <w:style w:type="paragraph" w:styleId="854" w:customStyle="1">
    <w:name w:val="TOC 标题1"/>
    <w:uiPriority w:val="39"/>
    <w:unhideWhenUsed/>
    <w:qFormat/>
    <w:rPr>
      <w:rFonts w:hint="default" w:ascii="Times New Roman" w:hAnsi="Times New Roman" w:eastAsia="宋体" w:cs="Times New Roman"/>
      <w:lang w:val="en-US" w:eastAsia="zh-CN" w:bidi="ar-SA"/>
    </w:rPr>
  </w:style>
  <w:style w:type="paragraph" w:styleId="855" w:customStyle="1">
    <w:name w:val="Normal_21"/>
    <w:basedOn w:val="856"/>
    <w:next w:val="856"/>
    <w:uiPriority w:val="0"/>
    <w:qFormat/>
    <w:pPr>
      <w:jc w:val="both"/>
      <w:widowControl w:val="off"/>
    </w:pPr>
    <w:rPr>
      <w:rFonts w:ascii="Times New Roman" w:hAnsi="Times New Roman" w:eastAsia="宋体" w:cs="Times New Roman"/>
      <w:sz w:val="21"/>
      <w:szCs w:val="24"/>
      <w:lang w:val="en-US" w:eastAsia="zh-CN" w:bidi="ar-SA"/>
    </w:rPr>
  </w:style>
  <w:style w:type="paragraph" w:styleId="856" w:customStyle="1">
    <w:name w:val="正文_16"/>
    <w:next w:val="857"/>
    <w:uiPriority w:val="0"/>
    <w:qFormat/>
    <w:pPr>
      <w:jc w:val="both"/>
      <w:widowControl w:val="off"/>
    </w:pPr>
    <w:rPr>
      <w:rFonts w:hint="default" w:ascii="Calibri" w:hAnsi="Calibri" w:eastAsia="宋体" w:cs="Times New Roman"/>
      <w:sz w:val="21"/>
      <w:szCs w:val="22"/>
      <w:lang w:val="en-US" w:eastAsia="zh-CN" w:bidi="ar-SA"/>
    </w:rPr>
  </w:style>
  <w:style w:type="paragraph" w:styleId="857" w:customStyle="1">
    <w:name w:val="正文文本 2_0"/>
    <w:basedOn w:val="856"/>
    <w:uiPriority w:val="0"/>
    <w:qFormat/>
    <w:rPr>
      <w:rFonts w:ascii="仿宋_GB2312" w:eastAsia="仿宋_GB2312"/>
      <w:sz w:val="28"/>
    </w:rPr>
  </w:style>
  <w:style w:type="paragraph" w:styleId="858" w:customStyle="1">
    <w:name w:val="正文_17"/>
    <w:next w:val="85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59" w:customStyle="1">
    <w:name w:val="标题 4_1"/>
    <w:basedOn w:val="858"/>
    <w:next w:val="858"/>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860" w:customStyle="1">
    <w:name w:val="Heading 1 Char"/>
    <w:link w:val="662"/>
    <w:uiPriority w:val="9"/>
    <w:qFormat/>
    <w:rPr>
      <w:rFonts w:ascii="Arial" w:hAnsi="Arial" w:eastAsia="Arial" w:cs="Arial"/>
      <w:sz w:val="40"/>
      <w:szCs w:val="40"/>
    </w:rPr>
  </w:style>
  <w:style w:type="character" w:styleId="861" w:customStyle="1">
    <w:name w:val="Heading 2 Char"/>
    <w:link w:val="662"/>
    <w:uiPriority w:val="9"/>
    <w:qFormat/>
    <w:rPr>
      <w:rFonts w:ascii="Arial" w:hAnsi="Arial" w:eastAsia="Arial" w:cs="Arial"/>
      <w:sz w:val="34"/>
    </w:rPr>
  </w:style>
  <w:style w:type="character" w:styleId="862" w:customStyle="1">
    <w:name w:val="Heading 3 Char"/>
    <w:link w:val="662"/>
    <w:uiPriority w:val="9"/>
    <w:qFormat/>
    <w:rPr>
      <w:rFonts w:ascii="Arial" w:hAnsi="Arial" w:eastAsia="Arial" w:cs="Arial"/>
      <w:sz w:val="30"/>
      <w:szCs w:val="30"/>
    </w:rPr>
  </w:style>
  <w:style w:type="character" w:styleId="863" w:customStyle="1">
    <w:name w:val="Heading 4 Char"/>
    <w:link w:val="662"/>
    <w:uiPriority w:val="9"/>
    <w:qFormat/>
    <w:rPr>
      <w:rFonts w:ascii="Arial" w:hAnsi="Arial" w:eastAsia="Arial" w:cs="Arial"/>
      <w:b/>
      <w:bCs/>
      <w:sz w:val="26"/>
      <w:szCs w:val="26"/>
    </w:rPr>
  </w:style>
  <w:style w:type="character" w:styleId="864" w:customStyle="1">
    <w:name w:val="Heading 5 Char"/>
    <w:link w:val="662"/>
    <w:uiPriority w:val="9"/>
    <w:qFormat/>
    <w:rPr>
      <w:rFonts w:ascii="Arial" w:hAnsi="Arial" w:eastAsia="Arial" w:cs="Arial"/>
      <w:b/>
      <w:bCs/>
      <w:sz w:val="24"/>
      <w:szCs w:val="24"/>
    </w:rPr>
  </w:style>
  <w:style w:type="character" w:styleId="865" w:customStyle="1">
    <w:name w:val="Heading 6 Char"/>
    <w:link w:val="662"/>
    <w:uiPriority w:val="9"/>
    <w:qFormat/>
    <w:rPr>
      <w:rFonts w:ascii="Arial" w:hAnsi="Arial" w:eastAsia="Arial" w:cs="Arial"/>
      <w:b/>
      <w:bCs/>
      <w:sz w:val="22"/>
      <w:szCs w:val="22"/>
    </w:rPr>
  </w:style>
  <w:style w:type="character" w:styleId="866" w:customStyle="1">
    <w:name w:val="Heading 7 Char"/>
    <w:link w:val="662"/>
    <w:uiPriority w:val="9"/>
    <w:qFormat/>
    <w:rPr>
      <w:rFonts w:ascii="Arial" w:hAnsi="Arial" w:eastAsia="Arial" w:cs="Arial"/>
      <w:b/>
      <w:bCs/>
      <w:i/>
      <w:iCs/>
      <w:sz w:val="22"/>
      <w:szCs w:val="22"/>
    </w:rPr>
  </w:style>
  <w:style w:type="character" w:styleId="867" w:customStyle="1">
    <w:name w:val="Heading 8 Char"/>
    <w:link w:val="662"/>
    <w:uiPriority w:val="9"/>
    <w:qFormat/>
    <w:rPr>
      <w:rFonts w:ascii="Arial" w:hAnsi="Arial" w:eastAsia="Arial" w:cs="Arial"/>
      <w:i/>
      <w:iCs/>
      <w:sz w:val="22"/>
      <w:szCs w:val="22"/>
    </w:rPr>
  </w:style>
  <w:style w:type="character" w:styleId="868" w:customStyle="1">
    <w:name w:val="Heading 9 Char"/>
    <w:link w:val="662"/>
    <w:uiPriority w:val="9"/>
    <w:qFormat/>
    <w:rPr>
      <w:rFonts w:ascii="Arial" w:hAnsi="Arial" w:eastAsia="Arial" w:cs="Arial"/>
      <w:i/>
      <w:iCs/>
      <w:sz w:val="21"/>
      <w:szCs w:val="21"/>
    </w:rPr>
  </w:style>
  <w:style w:type="character" w:styleId="869" w:customStyle="1">
    <w:name w:val="Title Char"/>
    <w:link w:val="662"/>
    <w:uiPriority w:val="10"/>
    <w:qFormat/>
    <w:rPr>
      <w:sz w:val="48"/>
      <w:szCs w:val="48"/>
    </w:rPr>
  </w:style>
  <w:style w:type="character" w:styleId="870" w:customStyle="1">
    <w:name w:val="Subtitle Char"/>
    <w:link w:val="662"/>
    <w:uiPriority w:val="11"/>
    <w:qFormat/>
    <w:rPr>
      <w:sz w:val="24"/>
      <w:szCs w:val="24"/>
    </w:rPr>
  </w:style>
  <w:style w:type="character" w:styleId="871" w:customStyle="1">
    <w:name w:val="Quote Char"/>
    <w:link w:val="662"/>
    <w:uiPriority w:val="29"/>
    <w:qFormat/>
    <w:rPr>
      <w:i/>
    </w:rPr>
  </w:style>
  <w:style w:type="character" w:styleId="872" w:customStyle="1">
    <w:name w:val="Intense Quote Char"/>
    <w:link w:val="662"/>
    <w:uiPriority w:val="30"/>
    <w:qFormat/>
    <w:rPr>
      <w:i/>
    </w:rPr>
  </w:style>
  <w:style w:type="character" w:styleId="873" w:customStyle="1">
    <w:name w:val="Caption Char"/>
    <w:link w:val="662"/>
    <w:uiPriority w:val="99"/>
    <w:qFormat/>
  </w:style>
  <w:style w:type="character" w:styleId="874" w:customStyle="1">
    <w:name w:val="Footnote Text Char"/>
    <w:link w:val="662"/>
    <w:uiPriority w:val="99"/>
    <w:qFormat/>
    <w:rPr>
      <w:sz w:val="18"/>
    </w:rPr>
  </w:style>
  <w:style w:type="character" w:styleId="875" w:customStyle="1">
    <w:name w:val="Endnote Text Char"/>
    <w:link w:val="662"/>
    <w:uiPriority w:val="99"/>
    <w:qFormat/>
    <w:rPr>
      <w:sz w:val="20"/>
    </w:rPr>
  </w:style>
  <w:style w:type="paragraph" w:styleId="876" w:customStyle="1">
    <w:name w:val="列表段落"/>
    <w:basedOn w:val="662"/>
    <w:uiPriority w:val="0"/>
    <w:qFormat/>
    <w:pPr>
      <w:contextualSpacing/>
      <w:ind w:left="720"/>
    </w:pPr>
  </w:style>
  <w:style w:type="paragraph" w:styleId="877" w:customStyle="1">
    <w:name w:val="无间隔"/>
    <w:uiPriority w:val="99"/>
    <w:qFormat/>
    <w:rPr>
      <w:rFonts w:hint="default" w:ascii="Times New Roman" w:hAnsi="Times New Roman" w:eastAsia="宋体" w:cs="Times New Roman"/>
      <w:lang w:val="en-US" w:eastAsia="zh-CN" w:bidi="ar-SA"/>
    </w:rPr>
  </w:style>
  <w:style w:type="paragraph" w:styleId="878" w:customStyle="1">
    <w:name w:val="引用"/>
    <w:basedOn w:val="662"/>
    <w:next w:val="662"/>
    <w:link w:val="879"/>
    <w:uiPriority w:val="29"/>
    <w:qFormat/>
    <w:pPr>
      <w:ind w:left="720" w:right="720"/>
    </w:pPr>
    <w:rPr>
      <w:i/>
    </w:rPr>
  </w:style>
  <w:style w:type="character" w:styleId="879" w:customStyle="1">
    <w:name w:val="引用 字符"/>
    <w:link w:val="878"/>
    <w:uiPriority w:val="29"/>
    <w:qFormat/>
    <w:rPr>
      <w:i/>
    </w:rPr>
  </w:style>
  <w:style w:type="paragraph" w:styleId="880" w:customStyle="1">
    <w:name w:val="明显引用"/>
    <w:basedOn w:val="662"/>
    <w:next w:val="662"/>
    <w:link w:val="8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1" w:customStyle="1">
    <w:name w:val="明显引用 字符"/>
    <w:link w:val="880"/>
    <w:uiPriority w:val="30"/>
    <w:qFormat/>
    <w:rPr>
      <w:i/>
    </w:rPr>
  </w:style>
  <w:style w:type="character" w:styleId="882" w:customStyle="1">
    <w:name w:val="Header Char"/>
    <w:link w:val="662"/>
    <w:uiPriority w:val="99"/>
    <w:qFormat/>
  </w:style>
  <w:style w:type="character" w:styleId="883" w:customStyle="1">
    <w:name w:val="Footer Char"/>
    <w:link w:val="662"/>
    <w:uiPriority w:val="99"/>
    <w:qFormat/>
  </w:style>
  <w:style w:type="table" w:styleId="884" w:customStyle="1">
    <w:name w:val="Table Grid Light"/>
    <w:basedOn w:val="732"/>
    <w:uiPriority w:val="59"/>
    <w:qFormat/>
    <w:tblPr/>
  </w:style>
  <w:style w:type="table" w:styleId="885" w:customStyle="1">
    <w:name w:val="Grid Table 1 Light - Accent 1"/>
    <w:basedOn w:val="732"/>
    <w:uiPriority w:val="99"/>
    <w:qFormat/>
    <w:tblPr/>
  </w:style>
  <w:style w:type="table" w:styleId="886" w:customStyle="1">
    <w:name w:val="Grid Table 1 Light - Accent 2"/>
    <w:basedOn w:val="732"/>
    <w:uiPriority w:val="99"/>
    <w:qFormat/>
    <w:tblPr/>
  </w:style>
  <w:style w:type="table" w:styleId="887" w:customStyle="1">
    <w:name w:val="Grid Table 1 Light - Accent 3"/>
    <w:basedOn w:val="732"/>
    <w:uiPriority w:val="99"/>
    <w:qFormat/>
    <w:tblPr/>
  </w:style>
  <w:style w:type="table" w:styleId="888" w:customStyle="1">
    <w:name w:val="Grid Table 1 Light - Accent 4"/>
    <w:basedOn w:val="732"/>
    <w:uiPriority w:val="99"/>
    <w:qFormat/>
    <w:tblPr/>
  </w:style>
  <w:style w:type="table" w:styleId="889" w:customStyle="1">
    <w:name w:val="Grid Table 1 Light - Accent 5"/>
    <w:basedOn w:val="732"/>
    <w:uiPriority w:val="99"/>
    <w:qFormat/>
    <w:tblPr/>
  </w:style>
  <w:style w:type="table" w:styleId="890" w:customStyle="1">
    <w:name w:val="Grid Table 1 Light - Accent 6"/>
    <w:basedOn w:val="732"/>
    <w:uiPriority w:val="99"/>
    <w:qFormat/>
    <w:tblPr/>
  </w:style>
  <w:style w:type="table" w:styleId="891" w:customStyle="1">
    <w:name w:val="Grid Table 2 - Accent 1"/>
    <w:basedOn w:val="732"/>
    <w:uiPriority w:val="99"/>
    <w:qFormat/>
    <w:tblPr/>
  </w:style>
  <w:style w:type="table" w:styleId="892" w:customStyle="1">
    <w:name w:val="Grid Table 2 - Accent 2"/>
    <w:basedOn w:val="732"/>
    <w:uiPriority w:val="99"/>
    <w:qFormat/>
    <w:tblPr/>
  </w:style>
  <w:style w:type="table" w:styleId="893" w:customStyle="1">
    <w:name w:val="Grid Table 2 - Accent 3"/>
    <w:basedOn w:val="732"/>
    <w:uiPriority w:val="99"/>
    <w:qFormat/>
    <w:tblPr/>
  </w:style>
  <w:style w:type="table" w:styleId="894" w:customStyle="1">
    <w:name w:val="Grid Table 2 - Accent 4"/>
    <w:basedOn w:val="732"/>
    <w:uiPriority w:val="99"/>
    <w:qFormat/>
    <w:tblPr/>
  </w:style>
  <w:style w:type="table" w:styleId="895" w:customStyle="1">
    <w:name w:val="Grid Table 2 - Accent 5"/>
    <w:basedOn w:val="732"/>
    <w:uiPriority w:val="99"/>
    <w:qFormat/>
    <w:tblPr/>
  </w:style>
  <w:style w:type="table" w:styleId="896" w:customStyle="1">
    <w:name w:val="Grid Table 2 - Accent 6"/>
    <w:basedOn w:val="732"/>
    <w:uiPriority w:val="99"/>
    <w:qFormat/>
    <w:tblPr/>
  </w:style>
  <w:style w:type="table" w:styleId="897" w:customStyle="1">
    <w:name w:val="Grid Table 3 - Accent 1"/>
    <w:basedOn w:val="732"/>
    <w:uiPriority w:val="99"/>
    <w:qFormat/>
    <w:tblPr/>
  </w:style>
  <w:style w:type="table" w:styleId="898" w:customStyle="1">
    <w:name w:val="Grid Table 3 - Accent 2"/>
    <w:basedOn w:val="732"/>
    <w:uiPriority w:val="99"/>
    <w:qFormat/>
    <w:tblPr/>
  </w:style>
  <w:style w:type="table" w:styleId="899" w:customStyle="1">
    <w:name w:val="Grid Table 3 - Accent 3"/>
    <w:basedOn w:val="732"/>
    <w:uiPriority w:val="99"/>
    <w:qFormat/>
    <w:tblPr/>
  </w:style>
  <w:style w:type="table" w:styleId="900" w:customStyle="1">
    <w:name w:val="Grid Table 3 - Accent 4"/>
    <w:basedOn w:val="732"/>
    <w:uiPriority w:val="99"/>
    <w:qFormat/>
    <w:tblPr/>
  </w:style>
  <w:style w:type="table" w:styleId="901" w:customStyle="1">
    <w:name w:val="Grid Table 3 - Accent 5"/>
    <w:basedOn w:val="732"/>
    <w:uiPriority w:val="99"/>
    <w:qFormat/>
    <w:tblPr/>
  </w:style>
  <w:style w:type="table" w:styleId="902" w:customStyle="1">
    <w:name w:val="Grid Table 3 - Accent 6"/>
    <w:basedOn w:val="732"/>
    <w:uiPriority w:val="99"/>
    <w:qFormat/>
    <w:tblPr/>
  </w:style>
  <w:style w:type="table" w:styleId="903" w:customStyle="1">
    <w:name w:val="Grid Table 4 - Accent 1"/>
    <w:basedOn w:val="732"/>
    <w:uiPriority w:val="59"/>
    <w:qFormat/>
    <w:tblPr/>
  </w:style>
  <w:style w:type="table" w:styleId="904" w:customStyle="1">
    <w:name w:val="Grid Table 4 - Accent 2"/>
    <w:basedOn w:val="732"/>
    <w:uiPriority w:val="59"/>
    <w:qFormat/>
    <w:tblPr/>
  </w:style>
  <w:style w:type="table" w:styleId="905" w:customStyle="1">
    <w:name w:val="Grid Table 4 - Accent 3"/>
    <w:basedOn w:val="732"/>
    <w:uiPriority w:val="59"/>
    <w:qFormat/>
    <w:tblPr/>
  </w:style>
  <w:style w:type="table" w:styleId="906" w:customStyle="1">
    <w:name w:val="Grid Table 4 - Accent 4"/>
    <w:basedOn w:val="732"/>
    <w:uiPriority w:val="59"/>
    <w:qFormat/>
    <w:tblPr/>
  </w:style>
  <w:style w:type="table" w:styleId="907" w:customStyle="1">
    <w:name w:val="Grid Table 4 - Accent 5"/>
    <w:basedOn w:val="732"/>
    <w:uiPriority w:val="59"/>
    <w:qFormat/>
    <w:tblPr/>
  </w:style>
  <w:style w:type="table" w:styleId="908" w:customStyle="1">
    <w:name w:val="Grid Table 4 - Accent 6"/>
    <w:basedOn w:val="732"/>
    <w:uiPriority w:val="59"/>
    <w:qFormat/>
    <w:tblPr/>
  </w:style>
  <w:style w:type="table" w:styleId="909" w:customStyle="1">
    <w:name w:val="Grid Table 5 Dark- Accent 1"/>
    <w:basedOn w:val="732"/>
    <w:uiPriority w:val="99"/>
    <w:qFormat/>
    <w:tblPr/>
  </w:style>
  <w:style w:type="table" w:styleId="910" w:customStyle="1">
    <w:name w:val="Grid Table 5 Dark - Accent 2"/>
    <w:basedOn w:val="732"/>
    <w:uiPriority w:val="99"/>
    <w:qFormat/>
    <w:tblPr/>
  </w:style>
  <w:style w:type="table" w:styleId="911" w:customStyle="1">
    <w:name w:val="Grid Table 5 Dark - Accent 3"/>
    <w:basedOn w:val="732"/>
    <w:uiPriority w:val="99"/>
    <w:qFormat/>
    <w:tblPr/>
  </w:style>
  <w:style w:type="table" w:styleId="912" w:customStyle="1">
    <w:name w:val="Grid Table 5 Dark- Accent 4"/>
    <w:basedOn w:val="732"/>
    <w:uiPriority w:val="99"/>
    <w:qFormat/>
    <w:tblPr/>
  </w:style>
  <w:style w:type="table" w:styleId="913" w:customStyle="1">
    <w:name w:val="Grid Table 5 Dark - Accent 5"/>
    <w:basedOn w:val="732"/>
    <w:uiPriority w:val="99"/>
    <w:qFormat/>
    <w:tblPr/>
  </w:style>
  <w:style w:type="table" w:styleId="914" w:customStyle="1">
    <w:name w:val="Grid Table 5 Dark - Accent 6"/>
    <w:basedOn w:val="732"/>
    <w:uiPriority w:val="99"/>
    <w:qFormat/>
    <w:tblPr/>
  </w:style>
  <w:style w:type="table" w:styleId="915" w:customStyle="1">
    <w:name w:val="Grid Table 6 Colorful - Accent 1"/>
    <w:basedOn w:val="732"/>
    <w:uiPriority w:val="99"/>
    <w:qFormat/>
    <w:tblPr/>
  </w:style>
  <w:style w:type="table" w:styleId="916" w:customStyle="1">
    <w:name w:val="Grid Table 6 Colorful - Accent 2"/>
    <w:basedOn w:val="732"/>
    <w:uiPriority w:val="99"/>
    <w:qFormat/>
    <w:tblPr/>
  </w:style>
  <w:style w:type="table" w:styleId="917" w:customStyle="1">
    <w:name w:val="Grid Table 6 Colorful - Accent 3"/>
    <w:basedOn w:val="732"/>
    <w:uiPriority w:val="99"/>
    <w:qFormat/>
    <w:tblPr/>
  </w:style>
  <w:style w:type="table" w:styleId="918" w:customStyle="1">
    <w:name w:val="Grid Table 6 Colorful - Accent 4"/>
    <w:basedOn w:val="732"/>
    <w:uiPriority w:val="99"/>
    <w:qFormat/>
    <w:tblPr/>
  </w:style>
  <w:style w:type="table" w:styleId="919" w:customStyle="1">
    <w:name w:val="Grid Table 6 Colorful - Accent 5"/>
    <w:basedOn w:val="732"/>
    <w:uiPriority w:val="99"/>
    <w:qFormat/>
    <w:tblPr/>
  </w:style>
  <w:style w:type="table" w:styleId="920" w:customStyle="1">
    <w:name w:val="Grid Table 6 Colorful - Accent 6"/>
    <w:basedOn w:val="732"/>
    <w:uiPriority w:val="99"/>
    <w:qFormat/>
    <w:tblPr/>
  </w:style>
  <w:style w:type="table" w:styleId="921" w:customStyle="1">
    <w:name w:val="Grid Table 7 Colorful - Accent 1"/>
    <w:basedOn w:val="732"/>
    <w:uiPriority w:val="99"/>
    <w:qFormat/>
    <w:tblPr/>
  </w:style>
  <w:style w:type="table" w:styleId="922" w:customStyle="1">
    <w:name w:val="Grid Table 7 Colorful - Accent 2"/>
    <w:basedOn w:val="732"/>
    <w:uiPriority w:val="99"/>
    <w:qFormat/>
    <w:tblPr/>
  </w:style>
  <w:style w:type="table" w:styleId="923" w:customStyle="1">
    <w:name w:val="Grid Table 7 Colorful - Accent 3"/>
    <w:basedOn w:val="732"/>
    <w:uiPriority w:val="99"/>
    <w:qFormat/>
    <w:tblPr/>
  </w:style>
  <w:style w:type="table" w:styleId="924" w:customStyle="1">
    <w:name w:val="Grid Table 7 Colorful - Accent 4"/>
    <w:basedOn w:val="732"/>
    <w:uiPriority w:val="99"/>
    <w:qFormat/>
    <w:tblPr/>
  </w:style>
  <w:style w:type="table" w:styleId="925" w:customStyle="1">
    <w:name w:val="Grid Table 7 Colorful - Accent 5"/>
    <w:basedOn w:val="732"/>
    <w:uiPriority w:val="99"/>
    <w:qFormat/>
    <w:tblPr/>
  </w:style>
  <w:style w:type="table" w:styleId="926" w:customStyle="1">
    <w:name w:val="Grid Table 7 Colorful - Accent 6"/>
    <w:basedOn w:val="732"/>
    <w:uiPriority w:val="99"/>
    <w:qFormat/>
    <w:tblPr/>
  </w:style>
  <w:style w:type="table" w:styleId="927" w:customStyle="1">
    <w:name w:val="List Table 1 Light - Accent 1"/>
    <w:basedOn w:val="732"/>
    <w:uiPriority w:val="99"/>
    <w:qFormat/>
    <w:tblPr/>
  </w:style>
  <w:style w:type="table" w:styleId="928" w:customStyle="1">
    <w:name w:val="List Table 1 Light - Accent 2"/>
    <w:basedOn w:val="732"/>
    <w:uiPriority w:val="99"/>
    <w:qFormat/>
    <w:tblPr/>
  </w:style>
  <w:style w:type="table" w:styleId="929" w:customStyle="1">
    <w:name w:val="List Table 1 Light - Accent 3"/>
    <w:basedOn w:val="732"/>
    <w:uiPriority w:val="99"/>
    <w:qFormat/>
    <w:tblPr/>
  </w:style>
  <w:style w:type="table" w:styleId="930" w:customStyle="1">
    <w:name w:val="List Table 1 Light - Accent 4"/>
    <w:basedOn w:val="732"/>
    <w:uiPriority w:val="99"/>
    <w:qFormat/>
    <w:tblPr/>
  </w:style>
  <w:style w:type="table" w:styleId="931" w:customStyle="1">
    <w:name w:val="List Table 1 Light - Accent 5"/>
    <w:basedOn w:val="732"/>
    <w:uiPriority w:val="99"/>
    <w:qFormat/>
    <w:tblPr/>
  </w:style>
  <w:style w:type="table" w:styleId="932" w:customStyle="1">
    <w:name w:val="List Table 1 Light - Accent 6"/>
    <w:basedOn w:val="732"/>
    <w:uiPriority w:val="99"/>
    <w:qFormat/>
    <w:tblPr/>
  </w:style>
  <w:style w:type="table" w:styleId="933" w:customStyle="1">
    <w:name w:val="List Table 2 - Accent 1"/>
    <w:basedOn w:val="732"/>
    <w:uiPriority w:val="99"/>
    <w:qFormat/>
    <w:tblPr/>
  </w:style>
  <w:style w:type="table" w:styleId="934" w:customStyle="1">
    <w:name w:val="List Table 2 - Accent 2"/>
    <w:basedOn w:val="732"/>
    <w:uiPriority w:val="99"/>
    <w:qFormat/>
    <w:tblPr/>
  </w:style>
  <w:style w:type="table" w:styleId="935" w:customStyle="1">
    <w:name w:val="List Table 2 - Accent 3"/>
    <w:basedOn w:val="732"/>
    <w:uiPriority w:val="99"/>
    <w:qFormat/>
    <w:tblPr/>
  </w:style>
  <w:style w:type="table" w:styleId="936" w:customStyle="1">
    <w:name w:val="List Table 2 - Accent 4"/>
    <w:basedOn w:val="732"/>
    <w:uiPriority w:val="99"/>
    <w:qFormat/>
    <w:tblPr/>
  </w:style>
  <w:style w:type="table" w:styleId="937" w:customStyle="1">
    <w:name w:val="List Table 2 - Accent 5"/>
    <w:basedOn w:val="732"/>
    <w:uiPriority w:val="99"/>
    <w:qFormat/>
    <w:tblPr/>
  </w:style>
  <w:style w:type="table" w:styleId="938" w:customStyle="1">
    <w:name w:val="List Table 2 - Accent 6"/>
    <w:basedOn w:val="732"/>
    <w:uiPriority w:val="99"/>
    <w:qFormat/>
    <w:tblPr/>
  </w:style>
  <w:style w:type="table" w:styleId="939" w:customStyle="1">
    <w:name w:val="List Table 3 - Accent 1"/>
    <w:basedOn w:val="732"/>
    <w:uiPriority w:val="99"/>
    <w:qFormat/>
    <w:tblPr/>
  </w:style>
  <w:style w:type="table" w:styleId="940" w:customStyle="1">
    <w:name w:val="List Table 3 - Accent 2"/>
    <w:basedOn w:val="732"/>
    <w:uiPriority w:val="99"/>
    <w:qFormat/>
    <w:tblPr/>
  </w:style>
  <w:style w:type="table" w:styleId="941" w:customStyle="1">
    <w:name w:val="List Table 3 - Accent 3"/>
    <w:basedOn w:val="732"/>
    <w:uiPriority w:val="99"/>
    <w:qFormat/>
    <w:tblPr/>
  </w:style>
  <w:style w:type="table" w:styleId="942" w:customStyle="1">
    <w:name w:val="List Table 3 - Accent 4"/>
    <w:basedOn w:val="732"/>
    <w:uiPriority w:val="99"/>
    <w:qFormat/>
    <w:tblPr/>
  </w:style>
  <w:style w:type="table" w:styleId="943" w:customStyle="1">
    <w:name w:val="List Table 3 - Accent 5"/>
    <w:basedOn w:val="732"/>
    <w:uiPriority w:val="99"/>
    <w:qFormat/>
    <w:tblPr/>
  </w:style>
  <w:style w:type="table" w:styleId="944" w:customStyle="1">
    <w:name w:val="List Table 3 - Accent 6"/>
    <w:basedOn w:val="732"/>
    <w:uiPriority w:val="99"/>
    <w:qFormat/>
    <w:tblPr/>
  </w:style>
  <w:style w:type="table" w:styleId="945" w:customStyle="1">
    <w:name w:val="List Table 4 - Accent 1"/>
    <w:basedOn w:val="732"/>
    <w:uiPriority w:val="99"/>
    <w:qFormat/>
    <w:tblPr/>
  </w:style>
  <w:style w:type="table" w:styleId="946" w:customStyle="1">
    <w:name w:val="List Table 4 - Accent 2"/>
    <w:basedOn w:val="732"/>
    <w:uiPriority w:val="99"/>
    <w:qFormat/>
    <w:tblPr/>
  </w:style>
  <w:style w:type="table" w:styleId="947" w:customStyle="1">
    <w:name w:val="List Table 4 - Accent 3"/>
    <w:basedOn w:val="732"/>
    <w:uiPriority w:val="99"/>
    <w:qFormat/>
    <w:tblPr/>
  </w:style>
  <w:style w:type="table" w:styleId="948" w:customStyle="1">
    <w:name w:val="List Table 4 - Accent 4"/>
    <w:basedOn w:val="732"/>
    <w:uiPriority w:val="99"/>
    <w:qFormat/>
    <w:tblPr/>
  </w:style>
  <w:style w:type="table" w:styleId="949" w:customStyle="1">
    <w:name w:val="List Table 4 - Accent 5"/>
    <w:basedOn w:val="732"/>
    <w:uiPriority w:val="99"/>
    <w:qFormat/>
    <w:tblPr/>
  </w:style>
  <w:style w:type="table" w:styleId="950" w:customStyle="1">
    <w:name w:val="List Table 4 - Accent 6"/>
    <w:basedOn w:val="732"/>
    <w:uiPriority w:val="99"/>
    <w:qFormat/>
    <w:tblPr/>
  </w:style>
  <w:style w:type="table" w:styleId="951" w:customStyle="1">
    <w:name w:val="List Table 5 Dark - Accent 1"/>
    <w:basedOn w:val="732"/>
    <w:uiPriority w:val="99"/>
    <w:qFormat/>
    <w:tblPr/>
  </w:style>
  <w:style w:type="table" w:styleId="952" w:customStyle="1">
    <w:name w:val="List Table 5 Dark - Accent 2"/>
    <w:basedOn w:val="732"/>
    <w:uiPriority w:val="99"/>
    <w:qFormat/>
    <w:tblPr/>
  </w:style>
  <w:style w:type="table" w:styleId="953" w:customStyle="1">
    <w:name w:val="List Table 5 Dark - Accent 3"/>
    <w:basedOn w:val="732"/>
    <w:uiPriority w:val="99"/>
    <w:qFormat/>
    <w:tblPr/>
  </w:style>
  <w:style w:type="table" w:styleId="954" w:customStyle="1">
    <w:name w:val="List Table 5 Dark - Accent 4"/>
    <w:basedOn w:val="732"/>
    <w:uiPriority w:val="99"/>
    <w:qFormat/>
    <w:tblPr/>
  </w:style>
  <w:style w:type="table" w:styleId="955" w:customStyle="1">
    <w:name w:val="List Table 5 Dark - Accent 5"/>
    <w:basedOn w:val="732"/>
    <w:uiPriority w:val="99"/>
    <w:qFormat/>
    <w:tblPr/>
  </w:style>
  <w:style w:type="table" w:styleId="956" w:customStyle="1">
    <w:name w:val="List Table 5 Dark - Accent 6"/>
    <w:basedOn w:val="732"/>
    <w:uiPriority w:val="99"/>
    <w:qFormat/>
    <w:tblPr/>
  </w:style>
  <w:style w:type="table" w:styleId="957" w:customStyle="1">
    <w:name w:val="List Table 6 Colorful - Accent 1"/>
    <w:basedOn w:val="732"/>
    <w:uiPriority w:val="99"/>
    <w:qFormat/>
    <w:tblPr/>
  </w:style>
  <w:style w:type="table" w:styleId="958" w:customStyle="1">
    <w:name w:val="List Table 6 Colorful - Accent 2"/>
    <w:basedOn w:val="732"/>
    <w:uiPriority w:val="99"/>
    <w:qFormat/>
    <w:tblPr/>
  </w:style>
  <w:style w:type="table" w:styleId="959" w:customStyle="1">
    <w:name w:val="List Table 6 Colorful - Accent 3"/>
    <w:basedOn w:val="732"/>
    <w:uiPriority w:val="99"/>
    <w:qFormat/>
    <w:tblPr/>
  </w:style>
  <w:style w:type="table" w:styleId="960" w:customStyle="1">
    <w:name w:val="List Table 6 Colorful - Accent 4"/>
    <w:basedOn w:val="732"/>
    <w:uiPriority w:val="99"/>
    <w:qFormat/>
    <w:tblPr/>
  </w:style>
  <w:style w:type="table" w:styleId="961" w:customStyle="1">
    <w:name w:val="List Table 6 Colorful - Accent 5"/>
    <w:basedOn w:val="732"/>
    <w:uiPriority w:val="99"/>
    <w:qFormat/>
    <w:tblPr/>
  </w:style>
  <w:style w:type="table" w:styleId="962" w:customStyle="1">
    <w:name w:val="List Table 6 Colorful - Accent 6"/>
    <w:basedOn w:val="732"/>
    <w:uiPriority w:val="99"/>
    <w:qFormat/>
    <w:tblPr/>
  </w:style>
  <w:style w:type="table" w:styleId="963" w:customStyle="1">
    <w:name w:val="List Table 7 Colorful - Accent 1"/>
    <w:basedOn w:val="732"/>
    <w:uiPriority w:val="99"/>
    <w:qFormat/>
    <w:tblPr/>
  </w:style>
  <w:style w:type="table" w:styleId="964" w:customStyle="1">
    <w:name w:val="List Table 7 Colorful - Accent 2"/>
    <w:basedOn w:val="732"/>
    <w:uiPriority w:val="99"/>
    <w:qFormat/>
    <w:tblPr/>
  </w:style>
  <w:style w:type="table" w:styleId="965" w:customStyle="1">
    <w:name w:val="List Table 7 Colorful - Accent 3"/>
    <w:basedOn w:val="732"/>
    <w:uiPriority w:val="99"/>
    <w:qFormat/>
    <w:tblPr/>
  </w:style>
  <w:style w:type="table" w:styleId="966" w:customStyle="1">
    <w:name w:val="List Table 7 Colorful - Accent 4"/>
    <w:basedOn w:val="732"/>
    <w:uiPriority w:val="99"/>
    <w:qFormat/>
    <w:tblPr/>
  </w:style>
  <w:style w:type="table" w:styleId="967" w:customStyle="1">
    <w:name w:val="List Table 7 Colorful - Accent 5"/>
    <w:basedOn w:val="732"/>
    <w:uiPriority w:val="99"/>
    <w:qFormat/>
    <w:tblPr/>
  </w:style>
  <w:style w:type="table" w:styleId="968" w:customStyle="1">
    <w:name w:val="List Table 7 Colorful - Accent 6"/>
    <w:basedOn w:val="732"/>
    <w:uiPriority w:val="99"/>
    <w:qFormat/>
    <w:tblPr/>
  </w:style>
  <w:style w:type="table" w:styleId="969" w:customStyle="1">
    <w:name w:val="Lined - Accent"/>
    <w:basedOn w:val="732"/>
    <w:uiPriority w:val="99"/>
    <w:qFormat/>
    <w:rPr>
      <w:color w:val="404040"/>
    </w:rPr>
    <w:tblPr/>
  </w:style>
  <w:style w:type="table" w:styleId="970" w:customStyle="1">
    <w:name w:val="Lined - Accent 1"/>
    <w:basedOn w:val="732"/>
    <w:uiPriority w:val="99"/>
    <w:qFormat/>
    <w:rPr>
      <w:color w:val="404040"/>
    </w:rPr>
    <w:tblPr/>
  </w:style>
  <w:style w:type="table" w:styleId="971" w:customStyle="1">
    <w:name w:val="Lined - Accent 2"/>
    <w:basedOn w:val="732"/>
    <w:uiPriority w:val="99"/>
    <w:qFormat/>
    <w:rPr>
      <w:color w:val="404040"/>
    </w:rPr>
    <w:tblPr/>
  </w:style>
  <w:style w:type="table" w:styleId="972" w:customStyle="1">
    <w:name w:val="Lined - Accent 3"/>
    <w:basedOn w:val="732"/>
    <w:uiPriority w:val="99"/>
    <w:qFormat/>
    <w:rPr>
      <w:color w:val="404040"/>
    </w:rPr>
    <w:tblPr/>
  </w:style>
  <w:style w:type="table" w:styleId="973" w:customStyle="1">
    <w:name w:val="Lined - Accent 4"/>
    <w:basedOn w:val="732"/>
    <w:uiPriority w:val="99"/>
    <w:qFormat/>
    <w:rPr>
      <w:color w:val="404040"/>
    </w:rPr>
    <w:tblPr/>
  </w:style>
  <w:style w:type="table" w:styleId="974" w:customStyle="1">
    <w:name w:val="Lined - Accent 5"/>
    <w:basedOn w:val="732"/>
    <w:uiPriority w:val="99"/>
    <w:qFormat/>
    <w:rPr>
      <w:color w:val="404040"/>
    </w:rPr>
    <w:tblPr/>
  </w:style>
  <w:style w:type="table" w:styleId="975" w:customStyle="1">
    <w:name w:val="Lined - Accent 6"/>
    <w:basedOn w:val="732"/>
    <w:uiPriority w:val="99"/>
    <w:qFormat/>
    <w:rPr>
      <w:color w:val="404040"/>
    </w:rPr>
    <w:tblPr/>
  </w:style>
  <w:style w:type="table" w:styleId="976" w:customStyle="1">
    <w:name w:val="Bordered &amp; Lined - Accent"/>
    <w:basedOn w:val="732"/>
    <w:uiPriority w:val="99"/>
    <w:qFormat/>
    <w:rPr>
      <w:color w:val="404040"/>
    </w:rPr>
    <w:tblPr/>
  </w:style>
  <w:style w:type="table" w:styleId="977" w:customStyle="1">
    <w:name w:val="Bordered &amp; Lined - Accent 1"/>
    <w:basedOn w:val="732"/>
    <w:uiPriority w:val="99"/>
    <w:qFormat/>
    <w:rPr>
      <w:color w:val="404040"/>
    </w:rPr>
    <w:tblPr/>
  </w:style>
  <w:style w:type="table" w:styleId="978" w:customStyle="1">
    <w:name w:val="Bordered &amp; Lined - Accent 2"/>
    <w:basedOn w:val="732"/>
    <w:uiPriority w:val="99"/>
    <w:qFormat/>
    <w:rPr>
      <w:color w:val="404040"/>
    </w:rPr>
    <w:tblPr/>
  </w:style>
  <w:style w:type="table" w:styleId="979" w:customStyle="1">
    <w:name w:val="Bordered &amp; Lined - Accent 3"/>
    <w:basedOn w:val="732"/>
    <w:uiPriority w:val="99"/>
    <w:qFormat/>
    <w:rPr>
      <w:color w:val="404040"/>
    </w:rPr>
    <w:tblPr/>
  </w:style>
  <w:style w:type="table" w:styleId="980" w:customStyle="1">
    <w:name w:val="Bordered &amp; Lined - Accent 4"/>
    <w:basedOn w:val="732"/>
    <w:uiPriority w:val="99"/>
    <w:qFormat/>
    <w:rPr>
      <w:color w:val="404040"/>
    </w:rPr>
    <w:tblPr/>
  </w:style>
  <w:style w:type="table" w:styleId="981" w:customStyle="1">
    <w:name w:val="Bordered &amp; Lined - Accent 5"/>
    <w:basedOn w:val="732"/>
    <w:uiPriority w:val="99"/>
    <w:qFormat/>
    <w:rPr>
      <w:color w:val="404040"/>
    </w:rPr>
    <w:tblPr/>
  </w:style>
  <w:style w:type="table" w:styleId="982" w:customStyle="1">
    <w:name w:val="Bordered &amp; Lined - Accent 6"/>
    <w:basedOn w:val="732"/>
    <w:uiPriority w:val="99"/>
    <w:qFormat/>
    <w:rPr>
      <w:color w:val="404040"/>
    </w:rPr>
    <w:tblPr/>
  </w:style>
  <w:style w:type="table" w:styleId="983" w:customStyle="1">
    <w:name w:val="Bordered"/>
    <w:basedOn w:val="732"/>
    <w:uiPriority w:val="99"/>
    <w:qFormat/>
    <w:tblPr/>
  </w:style>
  <w:style w:type="table" w:styleId="984" w:customStyle="1">
    <w:name w:val="Bordered - Accent 1"/>
    <w:basedOn w:val="732"/>
    <w:uiPriority w:val="99"/>
    <w:qFormat/>
    <w:tblPr/>
  </w:style>
  <w:style w:type="table" w:styleId="985" w:customStyle="1">
    <w:name w:val="Bordered - Accent 2"/>
    <w:basedOn w:val="732"/>
    <w:uiPriority w:val="99"/>
    <w:qFormat/>
    <w:tblPr/>
  </w:style>
  <w:style w:type="table" w:styleId="986" w:customStyle="1">
    <w:name w:val="Bordered - Accent 3"/>
    <w:basedOn w:val="732"/>
    <w:uiPriority w:val="99"/>
    <w:qFormat/>
    <w:tblPr/>
  </w:style>
  <w:style w:type="table" w:styleId="987" w:customStyle="1">
    <w:name w:val="Bordered - Accent 4"/>
    <w:basedOn w:val="732"/>
    <w:uiPriority w:val="99"/>
    <w:qFormat/>
    <w:tblPr/>
  </w:style>
  <w:style w:type="table" w:styleId="988" w:customStyle="1">
    <w:name w:val="Bordered - Accent 5"/>
    <w:basedOn w:val="732"/>
    <w:uiPriority w:val="99"/>
    <w:qFormat/>
    <w:tblPr/>
  </w:style>
  <w:style w:type="table" w:styleId="989" w:customStyle="1">
    <w:name w:val="Bordered - Accent 6"/>
    <w:basedOn w:val="732"/>
    <w:uiPriority w:val="99"/>
    <w:qFormat/>
    <w:tblPr/>
  </w:style>
  <w:style w:type="paragraph" w:styleId="990" w:customStyle="1">
    <w:name w:val="TOC 标题11"/>
    <w:uiPriority w:val="39"/>
    <w:unhideWhenUsed/>
    <w:qFormat/>
    <w:rPr>
      <w:rFonts w:hint="default" w:ascii="Times New Roman" w:hAnsi="Times New Roman" w:eastAsia="宋体" w:cs="Times New Roman"/>
      <w:lang w:val="en-US" w:eastAsia="zh-CN" w:bidi="ar-SA"/>
    </w:rPr>
  </w:style>
  <w:style w:type="paragraph" w:styleId="991" w:customStyle="1">
    <w:name w:val="Normal_0"/>
    <w:uiPriority w:val="0"/>
    <w:qFormat/>
    <w:rPr>
      <w:rFonts w:hint="default" w:ascii="黑体" w:hAnsi="黑体" w:eastAsia="黑体" w:cs="Times New Roman"/>
      <w:b/>
      <w:sz w:val="32"/>
      <w:szCs w:val="24"/>
      <w:lang w:val="en-US" w:eastAsia="zh-CN" w:bidi="ar-SA"/>
    </w:rPr>
  </w:style>
  <w:style w:type="paragraph" w:styleId="992" w:customStyle="1">
    <w:name w:val="Normal_0_3"/>
    <w:uiPriority w:val="0"/>
    <w:qFormat/>
    <w:rPr>
      <w:rFonts w:hint="default" w:ascii="黑体" w:hAnsi="黑体" w:eastAsia="黑体" w:cs="黑体"/>
      <w:b/>
      <w:sz w:val="32"/>
      <w:szCs w:val="24"/>
      <w:lang w:val="en-US" w:eastAsia="zh-CN" w:bidi="ar-SA"/>
    </w:rPr>
  </w:style>
  <w:style w:type="paragraph" w:styleId="993" w:customStyle="1">
    <w:name w:val="正文首行缩进 2_0"/>
    <w:basedOn w:val="994"/>
    <w:uiPriority w:val="0"/>
    <w:qFormat/>
    <w:pPr>
      <w:ind w:left="200" w:firstLine="200"/>
      <w:spacing w:after="120"/>
    </w:pPr>
    <w:rPr>
      <w:rFonts w:ascii="Times New Roman" w:hAnsi="Times New Roman"/>
      <w:sz w:val="24"/>
      <w:szCs w:val="24"/>
    </w:rPr>
  </w:style>
  <w:style w:type="paragraph" w:styleId="994" w:customStyle="1">
    <w:name w:val="正文文本缩进_0"/>
    <w:basedOn w:val="995"/>
    <w:uiPriority w:val="0"/>
    <w:qFormat/>
    <w:pPr>
      <w:ind w:firstLine="225"/>
    </w:pPr>
    <w:rPr>
      <w:rFonts w:ascii="仿宋_GB2312" w:eastAsia="仿宋_GB2312"/>
      <w:sz w:val="32"/>
    </w:rPr>
  </w:style>
  <w:style w:type="paragraph" w:styleId="995" w:customStyle="1">
    <w:name w:val="正文_2"/>
    <w:next w:val="994"/>
    <w:uiPriority w:val="0"/>
    <w:qFormat/>
    <w:pPr>
      <w:jc w:val="both"/>
      <w:widowControl w:val="off"/>
    </w:pPr>
    <w:rPr>
      <w:rFonts w:hint="default" w:ascii="Calibri" w:hAnsi="Calibri" w:eastAsia="宋体" w:cs="Times New Roman"/>
      <w:sz w:val="21"/>
      <w:szCs w:val="22"/>
      <w:lang w:val="en-US" w:eastAsia="zh-CN" w:bidi="ar-SA"/>
    </w:rPr>
  </w:style>
  <w:style w:type="paragraph" w:styleId="996" w:customStyle="1">
    <w:name w:val="Normal_0_2"/>
    <w:next w:val="997"/>
    <w:uiPriority w:val="0"/>
    <w:qFormat/>
    <w:rPr>
      <w:rFonts w:hint="default" w:ascii="黑体" w:hAnsi="黑体" w:eastAsia="黑体" w:cs="黑体"/>
      <w:b/>
      <w:sz w:val="32"/>
      <w:szCs w:val="24"/>
      <w:lang w:val="en-US" w:eastAsia="zh-CN" w:bidi="ar-SA"/>
    </w:rPr>
  </w:style>
  <w:style w:type="paragraph" w:styleId="997" w:customStyle="1">
    <w:name w:val="Body Text First Indent_1"/>
    <w:basedOn w:val="724"/>
    <w:uiPriority w:val="99"/>
    <w:unhideWhenUsed/>
    <w:qFormat/>
    <w:pPr>
      <w:ind w:firstLine="420"/>
      <w:spacing w:after="120"/>
    </w:pPr>
    <w:rPr>
      <w:rFonts w:eastAsia="Times New Roman"/>
      <w:sz w:val="20"/>
    </w:rPr>
  </w:style>
  <w:style w:type="paragraph" w:styleId="998"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999" w:customStyle="1">
    <w:name w:val="Normal_0_1"/>
    <w:next w:val="1000"/>
    <w:uiPriority w:val="0"/>
    <w:qFormat/>
    <w:rPr>
      <w:rFonts w:hint="default" w:ascii="黑体" w:hAnsi="黑体" w:eastAsia="黑体" w:cs="黑体"/>
      <w:b/>
      <w:sz w:val="32"/>
      <w:szCs w:val="24"/>
      <w:lang w:val="en-US" w:eastAsia="zh-CN" w:bidi="ar-SA"/>
    </w:rPr>
  </w:style>
  <w:style w:type="paragraph" w:styleId="1000" w:customStyle="1">
    <w:name w:val="Body Text First Indent_0"/>
    <w:basedOn w:val="1001"/>
    <w:uiPriority w:val="99"/>
    <w:unhideWhenUsed/>
    <w:qFormat/>
    <w:pPr>
      <w:ind w:firstLine="420"/>
      <w:spacing w:after="120"/>
    </w:pPr>
    <w:rPr>
      <w:rFonts w:eastAsia="Times New Roman"/>
    </w:rPr>
  </w:style>
  <w:style w:type="paragraph" w:styleId="1001" w:customStyle="1">
    <w:name w:val="正文3"/>
    <w:next w:val="1002"/>
    <w:uiPriority w:val="0"/>
    <w:qFormat/>
    <w:rPr>
      <w:rFonts w:hint="default" w:ascii="Times New Roman" w:hAnsi="Times New Roman" w:eastAsia="Times New Roman" w:cs="Times New Roman"/>
      <w:sz w:val="24"/>
      <w:szCs w:val="24"/>
      <w:lang w:val="en-US" w:eastAsia="zh-CN" w:bidi="ar-SA"/>
    </w:rPr>
  </w:style>
  <w:style w:type="paragraph" w:styleId="1002" w:customStyle="1">
    <w:name w:val="正文首行缩进3"/>
    <w:basedOn w:val="721"/>
    <w:uiPriority w:val="99"/>
    <w:unhideWhenUsed/>
    <w:qFormat/>
    <w:pPr>
      <w:ind w:firstLine="420"/>
      <w:spacing w:after="120"/>
    </w:pPr>
    <w:rPr>
      <w:sz w:val="20"/>
    </w:rPr>
  </w:style>
  <w:style w:type="paragraph" w:styleId="1003" w:customStyle="1">
    <w:name w:val="Normal_1_1"/>
    <w:uiPriority w:val="0"/>
    <w:qFormat/>
    <w:rPr>
      <w:rFonts w:hint="default" w:ascii="黑体" w:hAnsi="黑体" w:eastAsia="黑体" w:cs="黑体"/>
      <w:b/>
      <w:sz w:val="32"/>
      <w:szCs w:val="24"/>
      <w:lang w:val="en-US" w:eastAsia="zh-CN" w:bidi="ar-SA"/>
    </w:rPr>
  </w:style>
  <w:style w:type="paragraph" w:styleId="1004"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005"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006" w:customStyle="1">
    <w:name w:val="Normal_2_0"/>
    <w:uiPriority w:val="0"/>
    <w:qFormat/>
    <w:rPr>
      <w:rFonts w:hint="default" w:ascii="黑体" w:hAnsi="黑体" w:eastAsia="黑体" w:cs="黑体"/>
      <w:b/>
      <w:sz w:val="32"/>
      <w:szCs w:val="24"/>
      <w:lang w:val="en-US" w:eastAsia="zh-CN" w:bidi="ar-SA"/>
    </w:rPr>
  </w:style>
  <w:style w:type="paragraph" w:styleId="1007"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008" w:customStyle="1">
    <w:name w:val="Normal_4_0"/>
    <w:uiPriority w:val="0"/>
    <w:qFormat/>
    <w:rPr>
      <w:rFonts w:hint="default" w:ascii="黑体" w:hAnsi="黑体" w:eastAsia="黑体" w:cs="黑体"/>
      <w:b/>
      <w:sz w:val="32"/>
      <w:szCs w:val="24"/>
      <w:lang w:val="en-US" w:eastAsia="zh-CN" w:bidi="ar-SA"/>
    </w:rPr>
  </w:style>
  <w:style w:type="paragraph" w:styleId="1009"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10" w:customStyle="1">
    <w:name w:val="Normal_6_0"/>
    <w:uiPriority w:val="0"/>
    <w:qFormat/>
    <w:rPr>
      <w:rFonts w:hint="default" w:ascii="黑体" w:hAnsi="黑体" w:eastAsia="黑体" w:cs="黑体"/>
      <w:b/>
      <w:sz w:val="32"/>
      <w:szCs w:val="24"/>
      <w:lang w:val="en-US" w:eastAsia="zh-CN" w:bidi="ar-SA"/>
    </w:rPr>
  </w:style>
  <w:style w:type="paragraph" w:styleId="1011"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012"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3"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014" w:customStyle="1">
    <w:name w:val="Normal_7_0"/>
    <w:uiPriority w:val="0"/>
    <w:qFormat/>
    <w:rPr>
      <w:rFonts w:hint="default" w:ascii="黑体" w:hAnsi="黑体" w:eastAsia="黑体" w:cs="黑体"/>
      <w:b/>
      <w:sz w:val="32"/>
      <w:szCs w:val="24"/>
      <w:lang w:val="en-US" w:eastAsia="zh-CN" w:bidi="ar-SA"/>
    </w:rPr>
  </w:style>
  <w:style w:type="paragraph" w:styleId="1015"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016"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017" w:customStyle="1">
    <w:name w:val="Normal_10_0"/>
    <w:uiPriority w:val="0"/>
    <w:qFormat/>
    <w:rPr>
      <w:rFonts w:hint="default" w:ascii="黑体" w:hAnsi="黑体" w:eastAsia="黑体" w:cs="黑体"/>
      <w:b/>
      <w:sz w:val="32"/>
      <w:szCs w:val="24"/>
      <w:lang w:val="en-US" w:eastAsia="zh-CN" w:bidi="ar-SA"/>
    </w:rPr>
  </w:style>
  <w:style w:type="paragraph" w:styleId="1018" w:customStyle="1">
    <w:name w:val="正文_3"/>
    <w:next w:val="1019"/>
    <w:uiPriority w:val="0"/>
    <w:qFormat/>
    <w:pPr>
      <w:jc w:val="both"/>
      <w:widowControl w:val="off"/>
    </w:pPr>
    <w:rPr>
      <w:rFonts w:hint="default" w:ascii="Calibri" w:hAnsi="Calibri" w:eastAsia="宋体" w:cs="Times New Roman"/>
      <w:sz w:val="21"/>
      <w:szCs w:val="22"/>
      <w:lang w:val="en-US" w:eastAsia="zh-CN" w:bidi="ar-SA"/>
    </w:rPr>
  </w:style>
  <w:style w:type="paragraph" w:styleId="1019" w:customStyle="1">
    <w:name w:val="正文首行缩进 2_1"/>
    <w:basedOn w:val="1020"/>
    <w:next w:val="1022"/>
    <w:uiPriority w:val="0"/>
    <w:qFormat/>
    <w:pPr>
      <w:ind w:left="200" w:firstLine="200"/>
      <w:spacing w:after="120"/>
    </w:pPr>
    <w:rPr>
      <w:rFonts w:ascii="Times New Roman"/>
      <w:szCs w:val="24"/>
    </w:rPr>
  </w:style>
  <w:style w:type="paragraph" w:styleId="1020" w:customStyle="1">
    <w:name w:val="正文文本缩进_1"/>
    <w:basedOn w:val="1021"/>
    <w:next w:val="1019"/>
    <w:uiPriority w:val="0"/>
    <w:qFormat/>
    <w:pPr>
      <w:ind w:firstLine="225"/>
    </w:pPr>
    <w:rPr>
      <w:rFonts w:ascii="仿宋_GB2312" w:eastAsia="仿宋_GB2312"/>
      <w:sz w:val="32"/>
    </w:rPr>
  </w:style>
  <w:style w:type="paragraph" w:styleId="1021" w:customStyle="1">
    <w:name w:val="正文_18"/>
    <w:next w:val="1020"/>
    <w:uiPriority w:val="0"/>
    <w:qFormat/>
    <w:pPr>
      <w:jc w:val="both"/>
      <w:widowControl w:val="off"/>
    </w:pPr>
    <w:rPr>
      <w:rFonts w:hint="default" w:ascii="Calibri" w:hAnsi="Calibri" w:eastAsia="宋体" w:cs="Times New Roman"/>
      <w:sz w:val="21"/>
      <w:szCs w:val="22"/>
      <w:lang w:val="en-US" w:eastAsia="zh-CN" w:bidi="ar-SA"/>
    </w:rPr>
  </w:style>
  <w:style w:type="paragraph" w:styleId="1022" w:customStyle="1">
    <w:name w:val="xl53_0"/>
    <w:next w:val="1018"/>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023"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024" w:customStyle="1">
    <w:name w:val="Normal_11_0"/>
    <w:uiPriority w:val="0"/>
    <w:qFormat/>
    <w:rPr>
      <w:rFonts w:hint="default" w:ascii="黑体" w:hAnsi="黑体" w:eastAsia="黑体" w:cs="黑体"/>
      <w:b/>
      <w:sz w:val="32"/>
      <w:szCs w:val="24"/>
      <w:lang w:val="en-US" w:eastAsia="zh-CN" w:bidi="ar-SA"/>
    </w:rPr>
  </w:style>
  <w:style w:type="paragraph" w:styleId="1025"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026"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027"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028"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029" w:customStyle="1">
    <w:name w:val="列出段落_2"/>
    <w:basedOn w:val="1027"/>
    <w:uiPriority w:val="34"/>
    <w:qFormat/>
    <w:pPr>
      <w:ind w:firstLine="420"/>
    </w:pPr>
  </w:style>
  <w:style w:type="paragraph" w:styleId="1030" w:customStyle="1">
    <w:name w:val="Normal_13_0"/>
    <w:uiPriority w:val="0"/>
    <w:qFormat/>
    <w:rPr>
      <w:rFonts w:hint="default" w:ascii="黑体" w:hAnsi="黑体" w:eastAsia="黑体" w:cs="黑体"/>
      <w:b/>
      <w:sz w:val="32"/>
      <w:szCs w:val="24"/>
      <w:lang w:val="en-US" w:eastAsia="zh-CN" w:bidi="ar-SA"/>
    </w:rPr>
  </w:style>
  <w:style w:type="paragraph" w:styleId="1031"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032" w:customStyle="1">
    <w:name w:val="纯文本_0_0"/>
    <w:basedOn w:val="1031"/>
    <w:uiPriority w:val="0"/>
    <w:unhideWhenUsed/>
    <w:qFormat/>
    <w:rPr>
      <w:rFonts w:ascii="宋体" w:hAnsi="Courier New"/>
      <w:szCs w:val="21"/>
    </w:rPr>
  </w:style>
  <w:style w:type="paragraph" w:styleId="1033"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034" w:customStyle="1">
    <w:name w:val="Normal_14_0"/>
    <w:uiPriority w:val="0"/>
    <w:qFormat/>
    <w:rPr>
      <w:rFonts w:hint="default" w:ascii="黑体" w:hAnsi="黑体" w:eastAsia="黑体" w:cs="黑体"/>
      <w:b/>
      <w:sz w:val="32"/>
      <w:szCs w:val="24"/>
      <w:lang w:val="en-US" w:eastAsia="zh-CN" w:bidi="ar-SA"/>
    </w:rPr>
  </w:style>
  <w:style w:type="paragraph" w:styleId="1035"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036" w:customStyle="1">
    <w:name w:val="Normal_15_0"/>
    <w:uiPriority w:val="0"/>
    <w:qFormat/>
    <w:rPr>
      <w:rFonts w:hint="default" w:ascii="黑体" w:hAnsi="黑体" w:eastAsia="黑体" w:cs="黑体"/>
      <w:b/>
      <w:sz w:val="32"/>
      <w:szCs w:val="24"/>
      <w:lang w:val="en-US" w:eastAsia="zh-CN" w:bidi="ar-SA"/>
    </w:rPr>
  </w:style>
  <w:style w:type="paragraph" w:styleId="1037"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038"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9" w:customStyle="1">
    <w:name w:val="Normal_16_0"/>
    <w:uiPriority w:val="0"/>
    <w:qFormat/>
    <w:rPr>
      <w:rFonts w:hint="default" w:ascii="黑体" w:hAnsi="黑体" w:eastAsia="黑体" w:cs="黑体"/>
      <w:b/>
      <w:sz w:val="32"/>
      <w:szCs w:val="24"/>
      <w:lang w:val="en-US" w:eastAsia="zh-CN" w:bidi="ar-SA"/>
    </w:rPr>
  </w:style>
  <w:style w:type="paragraph" w:styleId="1040"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1" w:customStyle="1">
    <w:name w:val="Normal_17_0"/>
    <w:uiPriority w:val="0"/>
    <w:qFormat/>
    <w:rPr>
      <w:rFonts w:hint="default" w:ascii="黑体" w:hAnsi="黑体" w:eastAsia="黑体" w:cs="黑体"/>
      <w:b/>
      <w:sz w:val="32"/>
      <w:szCs w:val="24"/>
      <w:lang w:val="en-US" w:eastAsia="zh-CN" w:bidi="ar-SA"/>
    </w:rPr>
  </w:style>
  <w:style w:type="paragraph" w:styleId="1042"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3" w:customStyle="1">
    <w:name w:val="Normal_18_0"/>
    <w:uiPriority w:val="0"/>
    <w:qFormat/>
    <w:rPr>
      <w:rFonts w:hint="default" w:ascii="黑体" w:hAnsi="黑体" w:eastAsia="黑体" w:cs="黑体"/>
      <w:b/>
      <w:sz w:val="32"/>
      <w:szCs w:val="24"/>
      <w:lang w:val="en-US" w:eastAsia="zh-CN" w:bidi="ar-SA"/>
    </w:rPr>
  </w:style>
  <w:style w:type="paragraph" w:styleId="1044"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045"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6" w:customStyle="1">
    <w:name w:val="Normal_14_0_0"/>
    <w:uiPriority w:val="0"/>
    <w:qFormat/>
    <w:rPr>
      <w:rFonts w:hint="default" w:ascii="黑体" w:hAnsi="黑体" w:eastAsia="黑体" w:cs="Times New Roman"/>
      <w:b/>
      <w:sz w:val="32"/>
      <w:szCs w:val="24"/>
      <w:lang w:val="en-US" w:eastAsia="zh-CN" w:bidi="ar-SA"/>
    </w:rPr>
  </w:style>
  <w:style w:type="paragraph" w:styleId="1047"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8"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9"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050"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1"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52"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3" w:customStyle="1">
    <w:name w:val="Normal Indent_0"/>
    <w:basedOn w:val="812"/>
    <w:uiPriority w:val="0"/>
    <w:qFormat/>
    <w:pPr>
      <w:ind w:firstLine="420"/>
    </w:pPr>
    <w:rPr>
      <w:rFonts w:ascii="宋体" w:eastAsia="Times New Roman"/>
      <w:color w:val="000000"/>
      <w:sz w:val="24"/>
      <w:szCs w:val="20"/>
    </w:rPr>
  </w:style>
  <w:style w:type="paragraph" w:styleId="1054" w:customStyle="1">
    <w:name w:val="Heading 3_0"/>
    <w:basedOn w:val="812"/>
    <w:next w:val="812"/>
    <w:uiPriority w:val="0"/>
    <w:qFormat/>
    <w:pPr>
      <w:keepLines/>
      <w:keepNext/>
      <w:spacing w:before="260" w:after="260" w:line="413" w:lineRule="auto"/>
      <w:outlineLvl w:val="2"/>
    </w:pPr>
    <w:rPr>
      <w:rFonts w:ascii="Times New Roman" w:hAnsi="Times New Roman" w:eastAsia="Times New Roman"/>
      <w:szCs w:val="20"/>
    </w:rPr>
  </w:style>
  <w:style w:type="paragraph" w:styleId="1055"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56" w:customStyle="1">
    <w:name w:val="正文2"/>
    <w:basedOn w:val="662"/>
    <w:uiPriority w:val="0"/>
    <w:qFormat/>
    <w:pPr>
      <w:ind w:firstLine="510"/>
      <w:spacing w:before="156" w:line="360" w:lineRule="auto"/>
    </w:pPr>
    <w:rPr>
      <w:sz w:val="24"/>
      <w:szCs w:val="20"/>
    </w:rPr>
  </w:style>
  <w:style w:type="paragraph" w:styleId="1057"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58"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059" w:customStyle="1">
    <w:name w:val="Normal_19_1_0"/>
    <w:next w:val="1060"/>
    <w:uiPriority w:val="0"/>
    <w:qFormat/>
    <w:pPr>
      <w:jc w:val="both"/>
      <w:widowControl w:val="off"/>
    </w:pPr>
    <w:rPr>
      <w:rFonts w:hint="default" w:ascii="Calibri" w:hAnsi="Calibri" w:eastAsia="宋体" w:cs="Times New Roman"/>
      <w:szCs w:val="24"/>
      <w:lang w:val="en-US" w:eastAsia="zh-CN" w:bidi="ar-SA"/>
    </w:rPr>
  </w:style>
  <w:style w:type="paragraph" w:styleId="1060" w:customStyle="1">
    <w:name w:val="正文_16_0"/>
    <w:basedOn w:val="1021"/>
    <w:next w:val="1019"/>
    <w:uiPriority w:val="0"/>
    <w:qFormat/>
    <w:rPr>
      <w:rFonts w:ascii="Times New Roman" w:hAnsi="Times New Roman"/>
    </w:rPr>
  </w:style>
  <w:style w:type="paragraph" w:styleId="1061" w:customStyle="1">
    <w:name w:val="Normal_19_0"/>
    <w:basedOn w:val="719"/>
    <w:next w:val="1062"/>
    <w:uiPriority w:val="0"/>
    <w:qFormat/>
    <w:rPr>
      <w:szCs w:val="24"/>
    </w:rPr>
  </w:style>
  <w:style w:type="paragraph" w:styleId="1062" w:customStyle="1">
    <w:name w:val="Body Text First Indent_1_0"/>
    <w:basedOn w:val="1061"/>
    <w:uiPriority w:val="0"/>
    <w:qFormat/>
    <w:pPr>
      <w:ind w:firstLine="100"/>
      <w:spacing w:after="120"/>
    </w:pPr>
  </w:style>
  <w:style w:type="paragraph" w:styleId="1063" w:customStyle="1">
    <w:name w:val="Body Text_0"/>
    <w:basedOn w:val="1061"/>
    <w:uiPriority w:val="0"/>
    <w:qFormat/>
    <w:pPr>
      <w:spacing w:line="60" w:lineRule="auto"/>
    </w:pPr>
    <w:rPr>
      <w:rFonts w:ascii="仿宋_GB2312" w:eastAsia="仿宋_GB2312"/>
      <w:sz w:val="32"/>
    </w:rPr>
  </w:style>
  <w:style w:type="paragraph" w:styleId="1064" w:customStyle="1">
    <w:name w:val="Normal_19_1"/>
    <w:next w:val="812"/>
    <w:uiPriority w:val="0"/>
    <w:qFormat/>
    <w:pPr>
      <w:jc w:val="both"/>
      <w:widowControl w:val="off"/>
    </w:pPr>
    <w:rPr>
      <w:rFonts w:hint="default" w:ascii="Calibri" w:hAnsi="Calibri" w:eastAsia="宋体" w:cs="Times New Roman"/>
      <w:szCs w:val="24"/>
      <w:lang w:val="en-US" w:eastAsia="zh-CN" w:bidi="ar-SA"/>
    </w:rPr>
  </w:style>
  <w:style w:type="paragraph" w:styleId="1065"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066" w:customStyle="1">
    <w:name w:val="正文_7_1"/>
    <w:uiPriority w:val="0"/>
    <w:qFormat/>
    <w:pPr>
      <w:jc w:val="both"/>
      <w:widowControl w:val="off"/>
    </w:pPr>
    <w:rPr>
      <w:rFonts w:hint="default" w:ascii="Calibri" w:hAnsi="Calibri" w:eastAsia="宋体" w:cs="Times New Roman"/>
      <w:lang w:val="en-US" w:eastAsia="zh-CN" w:bidi="ar-SA"/>
    </w:rPr>
  </w:style>
  <w:style w:type="paragraph" w:styleId="1067" w:customStyle="1">
    <w:name w:val="正文1_1"/>
    <w:basedOn w:val="1015"/>
    <w:uiPriority w:val="0"/>
    <w:qFormat/>
    <w:pPr>
      <w:jc w:val="both"/>
      <w:widowControl w:val="off"/>
    </w:pPr>
    <w:rPr>
      <w:sz w:val="20"/>
      <w:szCs w:val="20"/>
    </w:rPr>
  </w:style>
  <w:style w:type="paragraph" w:styleId="1068"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069"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070" w:customStyle="1">
    <w:name w:val="Normal_16_1"/>
    <w:uiPriority w:val="0"/>
    <w:qFormat/>
    <w:rPr>
      <w:rFonts w:hint="default" w:ascii="黑体" w:hAnsi="黑体" w:eastAsia="黑体" w:cs="Times New Roman"/>
      <w:b/>
      <w:sz w:val="32"/>
      <w:szCs w:val="24"/>
      <w:lang w:val="en-US" w:eastAsia="zh-CN" w:bidi="ar-SA"/>
    </w:rPr>
  </w:style>
  <w:style w:type="paragraph" w:styleId="1071" w:customStyle="1">
    <w:name w:val="Normal_19_0_1"/>
    <w:uiPriority w:val="0"/>
    <w:qFormat/>
    <w:rPr>
      <w:rFonts w:hint="default" w:ascii="Tahoma" w:hAnsi="Tahoma" w:eastAsia="微软雅黑" w:cs="Times New Roman"/>
      <w:lang w:val="en-US" w:eastAsia="zh-CN" w:bidi="ar-SA"/>
    </w:rPr>
  </w:style>
  <w:style w:type="paragraph" w:styleId="1072"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073"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074" w:customStyle="1">
    <w:name w:val="Normal_17_0_0"/>
    <w:uiPriority w:val="0"/>
    <w:qFormat/>
    <w:rPr>
      <w:rFonts w:hint="default" w:ascii="黑体" w:hAnsi="黑体" w:eastAsia="黑体" w:cs="Times New Roman"/>
      <w:b/>
      <w:sz w:val="32"/>
      <w:szCs w:val="24"/>
      <w:lang w:val="en-US" w:eastAsia="zh-CN" w:bidi="ar-SA"/>
    </w:rPr>
  </w:style>
  <w:style w:type="paragraph" w:styleId="1075" w:customStyle="1">
    <w:name w:val="Normal_19_0_1_0"/>
    <w:uiPriority w:val="0"/>
    <w:qFormat/>
    <w:rPr>
      <w:rFonts w:hint="default" w:ascii="Tahoma" w:hAnsi="Tahoma" w:eastAsia="微软雅黑" w:cs="Times New Roman"/>
      <w:lang w:val="en-US" w:eastAsia="zh-CN" w:bidi="ar-SA"/>
    </w:rPr>
  </w:style>
  <w:style w:type="paragraph" w:styleId="1076" w:customStyle="1">
    <w:name w:val="Normal_19_3"/>
    <w:next w:val="1077"/>
    <w:uiPriority w:val="0"/>
    <w:qFormat/>
    <w:pPr>
      <w:jc w:val="both"/>
      <w:widowControl w:val="off"/>
    </w:pPr>
    <w:rPr>
      <w:rFonts w:hint="default" w:ascii="Calibri" w:hAnsi="Calibri" w:eastAsia="Times New Roman" w:cs="Times New Roman"/>
      <w:szCs w:val="24"/>
      <w:lang w:val="en-US" w:eastAsia="zh-CN" w:bidi="ar-SA"/>
    </w:rPr>
  </w:style>
  <w:style w:type="paragraph" w:styleId="1077"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078"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1079" w:customStyle="1">
    <w:name w:val="custom-tag-placeholder-class"/>
    <w:link w:val="662"/>
    <w:uiPriority w:val="0"/>
    <w:qFormat/>
  </w:style>
  <w:style w:type="paragraph" w:styleId="1080" w:customStyle="1">
    <w:name w:val="Normal_19_0_0"/>
    <w:basedOn w:val="812"/>
    <w:next w:val="1081"/>
    <w:uiPriority w:val="0"/>
    <w:qFormat/>
    <w:rPr>
      <w:rFonts w:ascii="Calibri" w:hAnsi="Calibri" w:eastAsia="Times New Roman"/>
      <w:sz w:val="24"/>
    </w:rPr>
  </w:style>
  <w:style w:type="paragraph" w:styleId="1081" w:customStyle="1">
    <w:name w:val="Body Text First Indent_1_0_0"/>
    <w:basedOn w:val="1080"/>
    <w:uiPriority w:val="0"/>
    <w:qFormat/>
    <w:pPr>
      <w:ind w:firstLine="100"/>
      <w:spacing w:after="120"/>
    </w:pPr>
    <w:rPr>
      <w:rFonts w:eastAsia="Times New Roman"/>
    </w:rPr>
  </w:style>
  <w:style w:type="paragraph" w:styleId="1082" w:customStyle="1">
    <w:name w:val="正文首行缩进1"/>
    <w:basedOn w:val="1083"/>
    <w:uiPriority w:val="0"/>
    <w:qFormat/>
    <w:pPr>
      <w:ind w:firstLine="100"/>
      <w:spacing w:after="120" w:line="240" w:lineRule="auto"/>
    </w:pPr>
    <w:rPr>
      <w:rFonts w:ascii="Times New Roman" w:hAnsi="Times New Roman" w:eastAsia="宋体"/>
      <w:sz w:val="21"/>
    </w:rPr>
  </w:style>
  <w:style w:type="paragraph" w:styleId="1083" w:customStyle="1">
    <w:name w:val="正文文本1"/>
    <w:basedOn w:val="662"/>
    <w:uiPriority w:val="0"/>
    <w:qFormat/>
    <w:pPr>
      <w:spacing w:line="60" w:lineRule="auto"/>
    </w:pPr>
    <w:rPr>
      <w:rFonts w:ascii="仿宋_GB2312" w:eastAsia="仿宋_GB2312"/>
      <w:sz w:val="32"/>
    </w:rPr>
  </w:style>
  <w:style w:type="paragraph" w:styleId="1084"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085" w:customStyle="1">
    <w:name w:val="List Paragraph_0"/>
    <w:basedOn w:val="995"/>
    <w:uiPriority w:val="0"/>
    <w:qFormat/>
    <w:pPr>
      <w:ind w:firstLine="420"/>
    </w:pPr>
  </w:style>
  <w:style w:type="paragraph" w:styleId="1086" w:customStyle="1">
    <w:name w:val="纯文本_1"/>
    <w:basedOn w:val="1084"/>
    <w:uiPriority w:val="0"/>
    <w:qFormat/>
    <w:rPr>
      <w:rFonts w:ascii="宋体" w:hAnsi="Times New Roman"/>
      <w:sz w:val="20"/>
      <w:szCs w:val="21"/>
    </w:rPr>
  </w:style>
  <w:style w:type="paragraph" w:styleId="1087" w:customStyle="1">
    <w:name w:val="正文_16_0_0"/>
    <w:next w:val="858"/>
    <w:uiPriority w:val="0"/>
    <w:qFormat/>
    <w:pPr>
      <w:jc w:val="both"/>
      <w:widowControl w:val="off"/>
    </w:pPr>
    <w:rPr>
      <w:rFonts w:hint="default" w:ascii="Calibri" w:hAnsi="Calibri" w:eastAsia="宋体" w:cs="Times New Roman"/>
      <w:sz w:val="21"/>
      <w:szCs w:val="22"/>
      <w:lang w:val="en-US" w:eastAsia="zh-CN" w:bidi="ar-SA"/>
    </w:rPr>
  </w:style>
  <w:style w:type="paragraph" w:styleId="1088" w:customStyle="1">
    <w:name w:val="正文_11_0"/>
    <w:basedOn w:val="858"/>
    <w:uiPriority w:val="0"/>
    <w:qFormat/>
    <w:rPr>
      <w:rFonts w:ascii="Calibri" w:hAnsi="Calibri"/>
      <w:szCs w:val="20"/>
    </w:rPr>
  </w:style>
  <w:style w:type="paragraph" w:styleId="1089" w:customStyle="1">
    <w:name w:val="Normal_19_0_0_0"/>
    <w:basedOn w:val="719"/>
    <w:uiPriority w:val="0"/>
    <w:qFormat/>
    <w:rPr>
      <w:rFonts w:cs="黑体"/>
      <w:szCs w:val="24"/>
    </w:rPr>
  </w:style>
  <w:style w:type="paragraph" w:styleId="1090" w:customStyle="1">
    <w:name w:val="无间隔1"/>
    <w:basedOn w:val="1001"/>
    <w:uiPriority w:val="0"/>
    <w:qFormat/>
    <w:rPr>
      <w:rFonts w:ascii="Calibri" w:hAnsi="Calibri" w:cs="Calibri"/>
    </w:rPr>
  </w:style>
  <w:style w:type="paragraph" w:styleId="1091" w:customStyle="1">
    <w:name w:val="标题 31"/>
    <w:basedOn w:val="1001"/>
    <w:next w:val="1001"/>
    <w:uiPriority w:val="0"/>
    <w:qFormat/>
    <w:pPr>
      <w:keepLines/>
      <w:keepNext/>
      <w:spacing w:before="260" w:after="260" w:line="413" w:lineRule="auto"/>
      <w:outlineLvl w:val="2"/>
    </w:pPr>
    <w:rPr>
      <w:b/>
      <w:sz w:val="32"/>
      <w:szCs w:val="20"/>
    </w:rPr>
  </w:style>
  <w:style w:type="character" w:styleId="1092" w:customStyle="1">
    <w:name w:val="标题 2 Char_0"/>
    <w:link w:val="1093"/>
    <w:uiPriority w:val="0"/>
    <w:qFormat/>
    <w:rPr>
      <w:rFonts w:ascii="Arial" w:hAnsi="Arial" w:eastAsia="黑体"/>
      <w:b/>
      <w:sz w:val="32"/>
      <w:szCs w:val="22"/>
    </w:rPr>
  </w:style>
  <w:style w:type="paragraph" w:styleId="1093" w:customStyle="1">
    <w:name w:val="标题 21"/>
    <w:basedOn w:val="720"/>
    <w:next w:val="720"/>
    <w:link w:val="1092"/>
    <w:uiPriority w:val="0"/>
    <w:unhideWhenUsed/>
    <w:qFormat/>
    <w:pPr>
      <w:keepLines/>
      <w:keepNext/>
      <w:spacing w:before="260" w:after="260" w:line="413" w:lineRule="auto"/>
      <w:outlineLvl w:val="1"/>
    </w:pPr>
    <w:rPr>
      <w:rFonts w:ascii="Arial" w:hAnsi="Arial"/>
      <w:szCs w:val="22"/>
    </w:rPr>
  </w:style>
  <w:style w:type="paragraph" w:styleId="1094" w:customStyle="1">
    <w:name w:val="Normal_19_1_0_0"/>
    <w:next w:val="1095"/>
    <w:uiPriority w:val="0"/>
    <w:qFormat/>
    <w:pPr>
      <w:jc w:val="both"/>
      <w:widowControl w:val="off"/>
    </w:pPr>
    <w:rPr>
      <w:rFonts w:hint="default" w:ascii="Calibri" w:hAnsi="Calibri" w:eastAsia="宋体" w:cs="Times New Roman"/>
      <w:sz w:val="21"/>
      <w:szCs w:val="24"/>
      <w:lang w:val="en-US" w:eastAsia="zh-CN" w:bidi="ar-SA"/>
    </w:rPr>
  </w:style>
  <w:style w:type="paragraph" w:styleId="1095"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96" w:customStyle="1">
    <w:name w:val="正文1_0_0"/>
    <w:basedOn w:val="720"/>
    <w:uiPriority w:val="0"/>
    <w:qFormat/>
    <w:pPr>
      <w:ind w:left="357" w:firstLine="420"/>
      <w:spacing w:line="360" w:lineRule="auto"/>
    </w:pPr>
    <w:rPr>
      <w:rFonts w:eastAsia="Times New Roman" w:cs="Arial"/>
    </w:rPr>
  </w:style>
  <w:style w:type="paragraph" w:styleId="1097" w:customStyle="1">
    <w:name w:val="普通正文"/>
    <w:basedOn w:val="662"/>
    <w:uiPriority w:val="0"/>
    <w:qFormat/>
    <w:pPr>
      <w:ind w:firstLine="480"/>
      <w:jc w:val="left"/>
      <w:spacing w:before="120" w:after="120" w:line="360" w:lineRule="auto"/>
    </w:pPr>
    <w:rPr>
      <w:rFonts w:ascii="Arial" w:hAnsi="Arial"/>
      <w:sz w:val="24"/>
      <w:szCs w:val="24"/>
    </w:rPr>
  </w:style>
  <w:style w:type="paragraph" w:styleId="1098" w:customStyle="1">
    <w:name w:val="正文空2字"/>
    <w:basedOn w:val="1099"/>
    <w:uiPriority w:val="99"/>
    <w:qFormat/>
    <w:pPr>
      <w:ind w:firstLine="640"/>
      <w:spacing w:line="560" w:lineRule="exact"/>
      <w:widowControl w:val="off"/>
    </w:pPr>
    <w:rPr>
      <w:rFonts w:ascii="仿宋_GB2312" w:hAnsi="仿宋_GB2312" w:cs="仿宋_GB2312"/>
      <w:lang w:val="zh-TW"/>
    </w:rPr>
  </w:style>
  <w:style w:type="paragraph" w:styleId="1099" w:customStyle="1">
    <w:name w:val="左对齐正文"/>
    <w:uiPriority w:val="99"/>
    <w:qFormat/>
    <w:rPr>
      <w:rFonts w:hint="default" w:ascii="Calibri" w:hAnsi="Calibri" w:eastAsia="仿宋_GB2312" w:cs="Calibri"/>
      <w:sz w:val="32"/>
      <w:szCs w:val="32"/>
      <w:lang w:val="en-US" w:eastAsia="zh-CN" w:bidi="ar-SA"/>
    </w:rPr>
  </w:style>
  <w:style w:type="paragraph" w:styleId="1100" w:customStyle="1">
    <w:name w:val="普通(网站)1"/>
    <w:basedOn w:val="662"/>
    <w:uiPriority w:val="0"/>
    <w:qFormat/>
    <w:rPr>
      <w:sz w:val="24"/>
    </w:rPr>
  </w:style>
  <w:style w:type="character" w:styleId="1101" w:customStyle="1">
    <w:name w:val="16"/>
    <w:link w:val="662"/>
    <w:uiPriority w:val="0"/>
    <w:qFormat/>
    <w:rPr>
      <w:rFonts w:ascii="Times New Roman" w:hAnsi="Times New Roman"/>
      <w:sz w:val="21"/>
      <w:szCs w:val="21"/>
      <w:lang w:val="en-US" w:eastAsia="zh-CN" w:bidi="ar-SA"/>
    </w:rPr>
  </w:style>
  <w:style w:type="paragraph" w:styleId="1102" w:customStyle="1">
    <w:name w:val="正文文本_0"/>
    <w:basedOn w:val="995"/>
    <w:next w:val="1103"/>
    <w:uiPriority w:val="0"/>
    <w:qFormat/>
    <w:pPr>
      <w:spacing w:line="60" w:lineRule="auto"/>
    </w:pPr>
    <w:rPr>
      <w:rFonts w:ascii="仿宋_GB2312" w:eastAsia="仿宋_GB2312"/>
      <w:sz w:val="32"/>
    </w:rPr>
  </w:style>
  <w:style w:type="paragraph" w:styleId="1103" w:customStyle="1">
    <w:name w:val="正文缩进_1"/>
    <w:basedOn w:val="995"/>
    <w:next w:val="995"/>
    <w:uiPriority w:val="0"/>
    <w:qFormat/>
    <w:pPr>
      <w:ind w:firstLine="420"/>
    </w:pPr>
    <w:rPr>
      <w:rFonts w:ascii="宋体"/>
      <w:color w:val="000000"/>
      <w:sz w:val="24"/>
      <w:szCs w:val="20"/>
    </w:rPr>
  </w:style>
  <w:style w:type="paragraph" w:styleId="1104" w:customStyle="1">
    <w:name w:val="Table Paragraph"/>
    <w:basedOn w:val="812"/>
    <w:uiPriority w:val="1"/>
    <w:qFormat/>
    <w:rPr>
      <w:rFonts w:ascii="宋体" w:hAnsi="宋体" w:cs="宋体"/>
      <w:sz w:val="22"/>
      <w:lang w:val="zh-CN" w:bidi="zh-CN"/>
    </w:rPr>
  </w:style>
  <w:style w:type="paragraph" w:styleId="1105" w:customStyle="1">
    <w:name w:val="Normal_19_2"/>
    <w:basedOn w:val="1106"/>
    <w:uiPriority w:val="0"/>
    <w:qFormat/>
    <w:rPr>
      <w:rFonts w:ascii="Times New Roman" w:hAnsi="Times New Roman"/>
      <w:szCs w:val="21"/>
    </w:rPr>
  </w:style>
  <w:style w:type="paragraph" w:styleId="1106" w:customStyle="1">
    <w:name w:val="正文_3_0"/>
    <w:next w:val="994"/>
    <w:uiPriority w:val="0"/>
    <w:qFormat/>
    <w:pPr>
      <w:jc w:val="both"/>
      <w:widowControl w:val="off"/>
    </w:pPr>
    <w:rPr>
      <w:rFonts w:hint="default" w:ascii="Calibri" w:hAnsi="Calibri" w:eastAsia="宋体" w:cs="Times New Roman"/>
      <w:sz w:val="21"/>
      <w:szCs w:val="22"/>
      <w:lang w:val="en-US" w:eastAsia="zh-CN" w:bidi="ar-SA"/>
    </w:rPr>
  </w:style>
  <w:style w:type="paragraph" w:styleId="1107" w:customStyle="1">
    <w:name w:val="正文文本2"/>
    <w:basedOn w:val="855"/>
    <w:uiPriority w:val="0"/>
    <w:qFormat/>
    <w:pPr>
      <w:spacing w:line="60" w:lineRule="auto"/>
    </w:pPr>
    <w:rPr>
      <w:rFonts w:ascii="仿宋_GB2312" w:eastAsia="仿宋_GB2312"/>
      <w:sz w:val="32"/>
      <w:szCs w:val="22"/>
    </w:rPr>
  </w:style>
  <w:style w:type="paragraph" w:styleId="1108" w:customStyle="1">
    <w:name w:val="正文1_0"/>
    <w:basedOn w:val="1084"/>
    <w:uiPriority w:val="0"/>
    <w:qFormat/>
    <w:pPr>
      <w:ind w:left="357" w:firstLine="420"/>
      <w:jc w:val="left"/>
      <w:spacing w:line="360" w:lineRule="auto"/>
      <w:widowControl/>
    </w:pPr>
    <w:rPr>
      <w:rFonts w:cs="Arial"/>
      <w:szCs w:val="20"/>
    </w:rPr>
  </w:style>
  <w:style w:type="paragraph" w:styleId="1109" w:customStyle="1">
    <w:name w:val="Normal_19_2_0"/>
    <w:basedOn w:val="1110"/>
    <w:uiPriority w:val="0"/>
    <w:qFormat/>
    <w:rPr>
      <w:rFonts w:ascii="Times New Roman" w:hAnsi="Times New Roman"/>
      <w:szCs w:val="21"/>
    </w:rPr>
  </w:style>
  <w:style w:type="paragraph" w:styleId="1110"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111" w:customStyle="1">
    <w:name w:val="正文缩进1"/>
    <w:basedOn w:val="662"/>
    <w:uiPriority w:val="0"/>
    <w:qFormat/>
    <w:pPr>
      <w:ind w:firstLine="420"/>
      <w:jc w:val="left"/>
    </w:pPr>
    <w:rPr>
      <w:rFonts w:ascii="宋体" w:hAnsi="Calibri" w:eastAsia="宋体" w:cs="Times New Roman"/>
      <w:sz w:val="24"/>
    </w:rPr>
  </w:style>
  <w:style w:type="paragraph" w:styleId="1112" w:customStyle="1">
    <w:name w:val="纯文本1"/>
    <w:basedOn w:val="856"/>
    <w:uiPriority w:val="0"/>
    <w:qFormat/>
    <w:rPr>
      <w:rFonts w:ascii="宋体" w:hAnsi="Courier New" w:eastAsia="宋体" w:cs="Times New Roman"/>
    </w:rPr>
  </w:style>
  <w:style w:type="paragraph" w:styleId="1113" w:customStyle="1">
    <w:name w:val="Normal_21_0"/>
    <w:next w:val="111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4" w:customStyle="1">
    <w:name w:val="Heading 1_0"/>
    <w:basedOn w:val="1113"/>
    <w:next w:val="1113"/>
    <w:uiPriority w:val="0"/>
    <w:qFormat/>
    <w:pPr>
      <w:jc w:val="center"/>
      <w:keepLines/>
      <w:keepNext/>
      <w:spacing w:before="240" w:after="120" w:line="300" w:lineRule="auto"/>
      <w:outlineLvl w:val="0"/>
    </w:pPr>
    <w:rPr>
      <w:rFonts w:ascii="宋体"/>
      <w:b/>
      <w:sz w:val="32"/>
      <w:szCs w:val="20"/>
    </w:rPr>
  </w:style>
  <w:style w:type="paragraph" w:styleId="1115"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16" w:customStyle="1">
    <w:name w:val="正文文本 字符"/>
    <w:link w:val="662"/>
    <w:uiPriority w:val="0"/>
    <w:qFormat/>
    <w:rPr>
      <w:rFonts w:ascii="楷体_GB2312" w:hAnsi="Arial" w:eastAsia="楷体_GB2312" w:cs="Times New Roman"/>
      <w:sz w:val="28"/>
      <w:szCs w:val="28"/>
    </w:rPr>
  </w:style>
  <w:style w:type="character" w:styleId="1117" w:customStyle="1">
    <w:name w:val="正文文本缩进 字符"/>
    <w:link w:val="662"/>
    <w:uiPriority w:val="0"/>
    <w:qFormat/>
    <w:rPr>
      <w:rFonts w:ascii="楷体_GB2312" w:hAnsi="Times New Roman" w:eastAsia="楷体_GB2312" w:cs="Times New Roman"/>
      <w:sz w:val="32"/>
      <w:szCs w:val="32"/>
    </w:rPr>
  </w:style>
  <w:style w:type="character" w:styleId="1118" w:customStyle="1">
    <w:name w:val="正文文本 字符1"/>
    <w:link w:val="662"/>
    <w:uiPriority w:val="0"/>
    <w:qFormat/>
    <w:rPr>
      <w:rFonts w:ascii="Calibri" w:hAnsi="Calibri"/>
      <w:sz w:val="28"/>
      <w:szCs w:val="24"/>
    </w:rPr>
  </w:style>
  <w:style w:type="character" w:styleId="1119" w:customStyle="1">
    <w:name w:val="正文文本首行缩进 字符"/>
    <w:link w:val="662"/>
    <w:uiPriority w:val="0"/>
    <w:qFormat/>
    <w:rPr>
      <w:rFonts w:ascii="仿宋_GB2312" w:hAnsi="Calibri" w:eastAsia="仿宋_GB2312"/>
      <w:sz w:val="30"/>
      <w:szCs w:val="30"/>
    </w:rPr>
  </w:style>
  <w:style w:type="paragraph" w:styleId="1120" w:customStyle="1">
    <w:name w:val="索引 41"/>
    <w:basedOn w:val="662"/>
    <w:next w:val="662"/>
    <w:uiPriority w:val="0"/>
    <w:semiHidden/>
    <w:qFormat/>
    <w:pPr>
      <w:ind w:left="1260"/>
    </w:pPr>
    <w:rPr>
      <w:rFonts w:eastAsia="Calibri" w:cs="宋体"/>
      <w:sz w:val="20"/>
      <w:szCs w:val="21"/>
      <w:lang w:val="zh-CN"/>
    </w:rPr>
  </w:style>
  <w:style w:type="character" w:styleId="1121" w:customStyle="1">
    <w:name w:val="font5 Char"/>
    <w:link w:val="662"/>
    <w:uiPriority w:val="0"/>
    <w:qFormat/>
    <w:rPr>
      <w:rFonts w:ascii="宋体" w:hAnsi="宋体" w:eastAsia="宋体"/>
      <w:sz w:val="28"/>
      <w:szCs w:val="28"/>
      <w:lang w:val="en-US" w:eastAsia="zh-CN" w:bidi="ar-SA"/>
    </w:rPr>
  </w:style>
  <w:style w:type="character" w:styleId="1122" w:customStyle="1">
    <w:name w:val="二级目录 Char"/>
    <w:link w:val="1123"/>
    <w:uiPriority w:val="0"/>
    <w:qFormat/>
    <w:rPr>
      <w:b/>
      <w:sz w:val="30"/>
      <w:szCs w:val="28"/>
    </w:rPr>
  </w:style>
  <w:style w:type="paragraph" w:styleId="1123" w:customStyle="1">
    <w:name w:val="二级目录"/>
    <w:next w:val="662"/>
    <w:link w:val="1122"/>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24" w:customStyle="1">
    <w:name w:val="列出段落 Char"/>
    <w:link w:val="1125"/>
    <w:uiPriority w:val="0"/>
    <w:qFormat/>
    <w:rPr>
      <w:rFonts w:ascii="Calibri" w:hAnsi="Calibri"/>
      <w:sz w:val="24"/>
      <w:szCs w:val="24"/>
      <w:lang w:eastAsia="en-US" w:bidi="en-US"/>
    </w:rPr>
  </w:style>
  <w:style w:type="paragraph" w:styleId="1125" w:customStyle="1">
    <w:name w:val="列出段落1"/>
    <w:basedOn w:val="662"/>
    <w:link w:val="1124"/>
    <w:uiPriority w:val="0"/>
    <w:qFormat/>
    <w:pPr>
      <w:contextualSpacing/>
      <w:ind w:left="720"/>
      <w:jc w:val="left"/>
      <w:widowControl/>
    </w:pPr>
    <w:rPr>
      <w:sz w:val="24"/>
      <w:szCs w:val="24"/>
      <w:lang w:eastAsia="en-US" w:bidi="en-US"/>
    </w:rPr>
  </w:style>
  <w:style w:type="paragraph" w:styleId="1126" w:customStyle="1">
    <w:name w:val="Body Text(ch)"/>
    <w:basedOn w:val="662"/>
    <w:uiPriority w:val="0"/>
    <w:qFormat/>
    <w:pPr>
      <w:spacing w:after="120"/>
    </w:pPr>
    <w:rPr>
      <w:rFonts w:ascii="宋体" w:hAnsi="Arial"/>
      <w:bCs/>
      <w:iCs/>
      <w:szCs w:val="24"/>
    </w:rPr>
  </w:style>
  <w:style w:type="paragraph" w:styleId="1127" w:customStyle="1">
    <w:name w:val="xl27"/>
    <w:basedOn w:val="66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28" w:customStyle="1">
    <w:name w:val="xl26"/>
    <w:basedOn w:val="6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29" w:customStyle="1">
    <w:name w:val="Char"/>
    <w:basedOn w:val="662"/>
    <w:uiPriority w:val="0"/>
    <w:qFormat/>
    <w:pPr>
      <w:ind w:firstLine="200"/>
      <w:tabs>
        <w:tab w:val="left" w:pos="360" w:leader="none"/>
      </w:tabs>
    </w:pPr>
    <w:rPr>
      <w:rFonts w:ascii="Times New Roman" w:hAnsi="Times New Roman"/>
      <w:sz w:val="28"/>
      <w:szCs w:val="30"/>
    </w:rPr>
  </w:style>
  <w:style w:type="paragraph" w:styleId="1130" w:customStyle="1">
    <w:name w:val="Char1"/>
    <w:basedOn w:val="747"/>
    <w:uiPriority w:val="0"/>
    <w:qFormat/>
    <w:rPr>
      <w:rFonts w:ascii="Tahoma" w:hAnsi="Tahoma"/>
      <w:sz w:val="24"/>
      <w:szCs w:val="24"/>
    </w:rPr>
  </w:style>
  <w:style w:type="paragraph" w:styleId="1131" w:customStyle="1">
    <w:name w:val="table_lines"/>
    <w:basedOn w:val="662"/>
    <w:uiPriority w:val="0"/>
    <w:qFormat/>
    <w:pPr>
      <w:jc w:val="left"/>
      <w:widowControl/>
    </w:pPr>
    <w:rPr>
      <w:rFonts w:ascii="Times New Roman" w:hAnsi="Times New Roman"/>
      <w:sz w:val="20"/>
      <w:szCs w:val="20"/>
      <w:lang w:val="de-DE" w:eastAsia="de-DE"/>
    </w:rPr>
  </w:style>
  <w:style w:type="paragraph" w:styleId="1132"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133" w:customStyle="1">
    <w:name w:val="font7"/>
    <w:basedOn w:val="662"/>
    <w:uiPriority w:val="0"/>
    <w:qFormat/>
    <w:pPr>
      <w:jc w:val="left"/>
      <w:spacing w:before="100" w:beforeAutospacing="1" w:after="100" w:afterAutospacing="1"/>
      <w:widowControl/>
    </w:pPr>
    <w:rPr>
      <w:rFonts w:hint="eastAsia" w:ascii="宋体" w:hAnsi="宋体"/>
      <w:sz w:val="18"/>
      <w:szCs w:val="18"/>
    </w:rPr>
  </w:style>
  <w:style w:type="paragraph" w:styleId="1134" w:customStyle="1">
    <w:name w:val="Char Char Char Char"/>
    <w:basedOn w:val="747"/>
    <w:uiPriority w:val="0"/>
    <w:qFormat/>
    <w:pPr>
      <w:spacing w:line="360" w:lineRule="auto"/>
    </w:pPr>
    <w:rPr>
      <w:rFonts w:ascii="Tahoma" w:hAnsi="Tahoma"/>
      <w:sz w:val="24"/>
      <w:szCs w:val="24"/>
    </w:rPr>
  </w:style>
  <w:style w:type="paragraph" w:styleId="1135" w:customStyle="1">
    <w:name w:val="4"/>
    <w:basedOn w:val="662"/>
    <w:next w:val="782"/>
    <w:uiPriority w:val="0"/>
    <w:qFormat/>
    <w:pPr>
      <w:ind w:firstLine="420"/>
      <w:spacing w:line="360" w:lineRule="auto"/>
    </w:pPr>
    <w:rPr>
      <w:rFonts w:ascii="Times New Roman" w:hAnsi="Times New Roman"/>
      <w:color w:val="ff0000"/>
      <w:sz w:val="24"/>
      <w:szCs w:val="24"/>
    </w:rPr>
  </w:style>
  <w:style w:type="paragraph" w:styleId="1136" w:customStyle="1">
    <w:name w:val="普通 (Web)"/>
    <w:basedOn w:val="662"/>
    <w:uiPriority w:val="0"/>
    <w:qFormat/>
    <w:pPr>
      <w:jc w:val="left"/>
      <w:spacing w:before="100" w:beforeAutospacing="1" w:after="100" w:afterAutospacing="1"/>
      <w:widowControl/>
    </w:pPr>
    <w:rPr>
      <w:rFonts w:ascii="宋体" w:hAnsi="宋体"/>
      <w:sz w:val="24"/>
      <w:szCs w:val="24"/>
    </w:rPr>
  </w:style>
  <w:style w:type="paragraph" w:styleId="1137" w:customStyle="1">
    <w:name w:val="Char Char Char Char Char Char Char Char Char Char"/>
    <w:basedOn w:val="662"/>
    <w:uiPriority w:val="0"/>
    <w:qFormat/>
    <w:pPr>
      <w:spacing w:line="360" w:lineRule="auto"/>
    </w:pPr>
    <w:rPr>
      <w:rFonts w:ascii="Times New Roman" w:hAnsi="Times New Roman"/>
      <w:sz w:val="24"/>
      <w:szCs w:val="20"/>
    </w:rPr>
  </w:style>
  <w:style w:type="paragraph" w:styleId="1138" w:customStyle="1">
    <w:name w:val="样式1"/>
    <w:basedOn w:val="662"/>
    <w:uiPriority w:val="0"/>
    <w:qFormat/>
    <w:pPr>
      <w:numPr>
        <w:ilvl w:val="0"/>
        <w:numId w:val="2"/>
      </w:numPr>
      <w:tabs>
        <w:tab w:val="left" w:pos="709" w:leader="none"/>
      </w:tabs>
    </w:pPr>
    <w:rPr>
      <w:rFonts w:ascii="宋体" w:hAnsi="宋体"/>
      <w:szCs w:val="21"/>
    </w:rPr>
  </w:style>
  <w:style w:type="paragraph" w:styleId="1139" w:customStyle="1">
    <w:name w:val="font6"/>
    <w:basedOn w:val="662"/>
    <w:uiPriority w:val="0"/>
    <w:qFormat/>
    <w:pPr>
      <w:jc w:val="left"/>
      <w:spacing w:before="100" w:beforeAutospacing="1" w:after="100" w:afterAutospacing="1"/>
      <w:widowControl/>
    </w:pPr>
    <w:rPr>
      <w:rFonts w:hint="eastAsia" w:ascii="宋体" w:hAnsi="宋体"/>
      <w:sz w:val="28"/>
      <w:szCs w:val="28"/>
      <w:u w:val="single"/>
    </w:rPr>
  </w:style>
  <w:style w:type="paragraph" w:styleId="1140" w:customStyle="1">
    <w:name w:val="xl25"/>
    <w:basedOn w:val="66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41" w:customStyle="1">
    <w:name w:val="图标"/>
    <w:basedOn w:val="662"/>
    <w:next w:val="662"/>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142" w:customStyle="1">
    <w:name w:val="标题3"/>
    <w:basedOn w:val="662"/>
    <w:next w:val="662"/>
    <w:uiPriority w:val="0"/>
    <w:qFormat/>
    <w:pPr>
      <w:ind w:firstLine="624"/>
      <w:spacing w:line="590" w:lineRule="atLeast"/>
    </w:pPr>
    <w:rPr>
      <w:rFonts w:ascii="方正黑体_GBK" w:hAnsi="Times New Roman" w:eastAsia="方正黑体_GBK"/>
      <w:sz w:val="32"/>
      <w:szCs w:val="32"/>
    </w:rPr>
  </w:style>
  <w:style w:type="paragraph" w:styleId="1143" w:customStyle="1">
    <w:name w:val="xl24"/>
    <w:basedOn w:val="66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44" w:customStyle="1">
    <w:name w:val="xl29"/>
    <w:basedOn w:val="66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45" w:customStyle="1">
    <w:name w:val="Char Char Char Char Char Char Char Char"/>
    <w:basedOn w:val="662"/>
    <w:uiPriority w:val="0"/>
    <w:qFormat/>
    <w:pPr>
      <w:jc w:val="left"/>
      <w:spacing w:after="160" w:line="240" w:lineRule="exact"/>
      <w:widowControl/>
    </w:pPr>
    <w:rPr>
      <w:rFonts w:ascii="Verdana" w:hAnsi="Verdana"/>
      <w:sz w:val="20"/>
      <w:szCs w:val="20"/>
      <w:lang w:eastAsia="en-US"/>
    </w:rPr>
  </w:style>
  <w:style w:type="paragraph" w:styleId="1146" w:customStyle="1">
    <w:name w:val="xl28"/>
    <w:basedOn w:val="66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47" w:customStyle="1">
    <w:name w:val="Char Char Char Char Char Char Char Char1"/>
    <w:basedOn w:val="662"/>
    <w:uiPriority w:val="0"/>
    <w:qFormat/>
    <w:pPr>
      <w:jc w:val="left"/>
      <w:spacing w:after="160" w:line="240" w:lineRule="exact"/>
      <w:widowControl/>
    </w:pPr>
    <w:rPr>
      <w:rFonts w:ascii="Verdana" w:hAnsi="Verdana"/>
      <w:sz w:val="20"/>
      <w:szCs w:val="20"/>
      <w:lang w:eastAsia="en-US"/>
    </w:rPr>
  </w:style>
  <w:style w:type="paragraph" w:styleId="1148" w:customStyle="1">
    <w:name w:val="xl30"/>
    <w:basedOn w:val="662"/>
    <w:uiPriority w:val="0"/>
    <w:qFormat/>
    <w:pPr>
      <w:jc w:val="center"/>
      <w:spacing w:before="100" w:beforeAutospacing="1" w:after="100" w:afterAutospacing="1"/>
      <w:widowControl/>
    </w:pPr>
    <w:rPr>
      <w:rFonts w:ascii="宋体" w:hAnsi="宋体"/>
      <w:b/>
      <w:bCs/>
      <w:sz w:val="36"/>
      <w:szCs w:val="36"/>
    </w:rPr>
  </w:style>
  <w:style w:type="paragraph" w:styleId="1149" w:customStyle="1">
    <w:name w:val="Char Char Char Char1"/>
    <w:basedOn w:val="747"/>
    <w:uiPriority w:val="0"/>
    <w:qFormat/>
    <w:pPr>
      <w:spacing w:line="360" w:lineRule="auto"/>
    </w:pPr>
    <w:rPr>
      <w:rFonts w:ascii="Tahoma" w:hAnsi="Tahoma"/>
      <w:sz w:val="24"/>
      <w:szCs w:val="24"/>
    </w:rPr>
  </w:style>
  <w:style w:type="paragraph" w:styleId="1150" w:customStyle="1">
    <w:name w:val="table_1stline"/>
    <w:basedOn w:val="662"/>
    <w:uiPriority w:val="0"/>
    <w:qFormat/>
    <w:pPr>
      <w:jc w:val="left"/>
      <w:spacing w:before="120"/>
      <w:widowControl/>
    </w:pPr>
    <w:rPr>
      <w:rFonts w:ascii="Times New Roman" w:hAnsi="Times New Roman"/>
      <w:bCs/>
      <w:sz w:val="20"/>
      <w:szCs w:val="20"/>
      <w:lang w:val="de-DE" w:eastAsia="de-DE"/>
    </w:rPr>
  </w:style>
  <w:style w:type="paragraph" w:styleId="1151" w:customStyle="1">
    <w:name w:val="font5"/>
    <w:basedOn w:val="662"/>
    <w:uiPriority w:val="0"/>
    <w:qFormat/>
    <w:pPr>
      <w:jc w:val="left"/>
      <w:spacing w:before="100" w:beforeAutospacing="1" w:after="100" w:afterAutospacing="1"/>
      <w:widowControl/>
    </w:pPr>
    <w:rPr>
      <w:rFonts w:hint="eastAsia" w:ascii="宋体" w:hAnsi="宋体"/>
      <w:sz w:val="28"/>
      <w:szCs w:val="28"/>
    </w:rPr>
  </w:style>
  <w:style w:type="paragraph" w:styleId="1152" w:customStyle="1">
    <w:name w:val="标题1"/>
    <w:basedOn w:val="662"/>
    <w:next w:val="662"/>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153"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154" w:customStyle="1">
    <w:name w:val="Table Normal"/>
    <w:uiPriority w:val="0"/>
    <w:qFormat/>
    <w:rPr>
      <w:lang w:val="en-US" w:eastAsia="zh-CN" w:bidi="ar-SA"/>
    </w:rPr>
    <w:tblPr/>
  </w:style>
  <w:style w:type="paragraph" w:styleId="1155" w:customStyle="1">
    <w:name w:val="正文文本12"/>
    <w:basedOn w:val="662"/>
    <w:uiPriority w:val="1"/>
    <w:qFormat/>
    <w:pPr>
      <w:ind w:left="120"/>
    </w:pPr>
    <w:rPr>
      <w:rFonts w:ascii="宋体" w:hAnsi="宋体" w:cs="宋体"/>
      <w:szCs w:val="21"/>
      <w:lang w:val="zh-CN" w:bidi="zh-CN"/>
    </w:rPr>
  </w:style>
  <w:style w:type="paragraph" w:styleId="1156" w:customStyle="1">
    <w:name w:val="首行缩进"/>
    <w:basedOn w:val="662"/>
    <w:uiPriority w:val="0"/>
    <w:qFormat/>
    <w:pPr>
      <w:ind w:firstLine="480"/>
    </w:pPr>
    <w:rPr>
      <w:rFonts w:ascii="Times New Roman" w:hAnsi="Times New Roman"/>
      <w:szCs w:val="21"/>
      <w:lang w:val="zh-CN"/>
    </w:rPr>
  </w:style>
  <w:style w:type="paragraph" w:styleId="1157" w:customStyle="1">
    <w:name w:val="部分1"/>
    <w:basedOn w:val="662"/>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158" w:customStyle="1">
    <w:name w:val="15"/>
    <w:link w:val="662"/>
    <w:uiPriority w:val="0"/>
    <w:qFormat/>
    <w:rPr>
      <w:rFonts w:ascii="Times New Roman" w:hAnsi="Times New Roman" w:cs="Times New Roman"/>
    </w:rPr>
  </w:style>
  <w:style w:type="paragraph" w:styleId="1159" w:customStyle="1">
    <w:name w:val="正文文本缩进 2_0"/>
    <w:basedOn w:val="995"/>
    <w:uiPriority w:val="0"/>
    <w:qFormat/>
    <w:pPr>
      <w:ind w:firstLine="720"/>
      <w:jc w:val="left"/>
      <w:spacing w:line="540" w:lineRule="exact"/>
    </w:pPr>
    <w:rPr>
      <w:rFonts w:ascii="仿宋_GB2312" w:hAnsi="仿宋_GB2312" w:cs="宋体"/>
      <w:sz w:val="32"/>
      <w:szCs w:val="32"/>
    </w:rPr>
  </w:style>
  <w:style w:type="character" w:styleId="1160" w:customStyle="1">
    <w:name w:val="10"/>
    <w:link w:val="662"/>
    <w:uiPriority w:val="0"/>
    <w:qFormat/>
    <w:rPr>
      <w:rFonts w:ascii="Times New Roman" w:hAnsi="Times New Roman" w:cs="Times New Roman"/>
    </w:rPr>
  </w:style>
  <w:style w:type="paragraph" w:styleId="1161" w:customStyle="1">
    <w:name w:val="正文_16_1"/>
    <w:basedOn w:val="662"/>
    <w:uiPriority w:val="0"/>
    <w:qFormat/>
    <w:rPr>
      <w:rFonts w:ascii="Times New Roman" w:hAnsi="Times New Roman"/>
      <w:szCs w:val="21"/>
    </w:rPr>
  </w:style>
  <w:style w:type="paragraph" w:styleId="1162" w:customStyle="1">
    <w:name w:val="页脚1"/>
    <w:basedOn w:val="662"/>
    <w:uiPriority w:val="0"/>
    <w:qFormat/>
    <w:pPr>
      <w:jc w:val="left"/>
      <w:tabs>
        <w:tab w:val="center" w:pos="4153" w:leader="none"/>
        <w:tab w:val="right" w:pos="8306" w:leader="none"/>
      </w:tabs>
    </w:pPr>
    <w:rPr>
      <w:sz w:val="18"/>
      <w:szCs w:val="18"/>
    </w:rPr>
  </w:style>
  <w:style w:type="paragraph" w:styleId="1163" w:customStyle="1">
    <w:name w:val="*正文"/>
    <w:basedOn w:val="717"/>
    <w:uiPriority w:val="0"/>
    <w:qFormat/>
    <w:pPr>
      <w:ind w:firstLine="200"/>
    </w:pPr>
    <w:rPr>
      <w:rFonts w:ascii="宋体" w:hAnsi="宋体"/>
      <w:color w:val="000000"/>
      <w:sz w:val="24"/>
      <w:szCs w:val="24"/>
    </w:rPr>
  </w:style>
  <w:style w:type="paragraph" w:styleId="1164" w:customStyle="1">
    <w:name w:val="*正文_0"/>
    <w:basedOn w:val="1165"/>
    <w:uiPriority w:val="0"/>
    <w:qFormat/>
    <w:pPr>
      <w:ind w:firstLine="200"/>
      <w:spacing w:line="360" w:lineRule="auto"/>
    </w:pPr>
    <w:rPr>
      <w:rFonts w:ascii="宋体" w:hAnsi="宋体" w:eastAsia="Arial" w:cs="Arial"/>
      <w:color w:val="000000"/>
      <w:sz w:val="24"/>
    </w:rPr>
  </w:style>
  <w:style w:type="paragraph" w:styleId="1165" w:customStyle="1">
    <w:name w:val="正文缩进_2"/>
    <w:basedOn w:val="1018"/>
    <w:uiPriority w:val="0"/>
    <w:unhideWhenUsed/>
    <w:qFormat/>
    <w:pPr>
      <w:ind w:firstLine="420"/>
      <w:jc w:val="left"/>
      <w:widowControl/>
    </w:pPr>
    <w:rPr>
      <w:rFonts w:ascii="Times New Roman" w:hAnsi="Times New Roman"/>
      <w:sz w:val="20"/>
      <w:szCs w:val="24"/>
    </w:rPr>
  </w:style>
  <w:style w:type="paragraph" w:styleId="1166" w:customStyle="1">
    <w:name w:val="*正文_0_0"/>
    <w:basedOn w:val="1018"/>
    <w:uiPriority w:val="0"/>
    <w:qFormat/>
    <w:pPr>
      <w:ind w:firstLine="200"/>
      <w:jc w:val="left"/>
      <w:spacing w:line="360" w:lineRule="auto"/>
      <w:widowControl/>
    </w:pPr>
    <w:rPr>
      <w:rFonts w:ascii="宋体" w:hAnsi="宋体" w:eastAsia="Arial" w:cs="Arial"/>
      <w:color w:val="000000"/>
      <w:sz w:val="24"/>
      <w:szCs w:val="24"/>
    </w:rPr>
  </w:style>
  <w:style w:type="paragraph" w:styleId="1167" w:customStyle="1">
    <w:name w:val="无间隔1_0_0"/>
    <w:basedOn w:val="1018"/>
    <w:uiPriority w:val="0"/>
    <w:qFormat/>
    <w:rPr>
      <w:rFonts w:ascii="Times New Roman" w:hAnsi="Times New Roman"/>
      <w:szCs w:val="21"/>
    </w:rPr>
  </w:style>
  <w:style w:type="paragraph" w:styleId="1168"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169" w:customStyle="1">
    <w:name w:val="标题 4_0"/>
    <w:basedOn w:val="1170"/>
    <w:next w:val="1170"/>
    <w:uiPriority w:val="9"/>
    <w:unhideWhenUsed/>
    <w:qFormat/>
    <w:pPr>
      <w:keepLines/>
      <w:keepNext/>
      <w:spacing w:before="280" w:after="290" w:line="372" w:lineRule="auto"/>
      <w:outlineLvl w:val="3"/>
    </w:pPr>
    <w:rPr>
      <w:rFonts w:ascii="Arial" w:hAnsi="Arial" w:eastAsia="黑体"/>
      <w:b/>
      <w:sz w:val="28"/>
    </w:rPr>
  </w:style>
  <w:style w:type="paragraph" w:styleId="1170" w:customStyle="1">
    <w:name w:val="正文4"/>
    <w:uiPriority w:val="0"/>
    <w:qFormat/>
    <w:pPr>
      <w:jc w:val="both"/>
      <w:widowControl w:val="off"/>
    </w:pPr>
    <w:rPr>
      <w:rFonts w:hint="default" w:ascii="Calibri" w:hAnsi="Calibri" w:eastAsia="宋体" w:cs="Times New Roman"/>
      <w:lang w:val="en-US" w:eastAsia="zh-CN" w:bidi="ar-SA"/>
    </w:rPr>
  </w:style>
  <w:style w:type="paragraph" w:styleId="1171"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172" w:customStyle="1">
    <w:name w:val="p17_0_0"/>
    <w:basedOn w:val="1061"/>
    <w:uiPriority w:val="0"/>
    <w:qFormat/>
    <w:pPr>
      <w:jc w:val="left"/>
      <w:spacing w:before="100" w:beforeAutospacing="1" w:after="100" w:afterAutospacing="1"/>
      <w:widowControl/>
    </w:pPr>
    <w:rPr>
      <w:rFonts w:ascii="宋体" w:hAnsi="宋体" w:eastAsia="Times New Roman" w:cs="宋体"/>
      <w:sz w:val="24"/>
      <w:szCs w:val="24"/>
    </w:rPr>
  </w:style>
  <w:style w:type="paragraph" w:styleId="1173" w:customStyle="1">
    <w:name w:val="p17_0"/>
    <w:basedOn w:val="720"/>
    <w:uiPriority w:val="0"/>
    <w:qFormat/>
    <w:pPr>
      <w:jc w:val="left"/>
      <w:spacing w:before="100" w:beforeAutospacing="1" w:after="100" w:afterAutospacing="1"/>
      <w:widowControl/>
    </w:pPr>
    <w:rPr>
      <w:rFonts w:ascii="宋体" w:hAnsi="宋体" w:eastAsia="Times New Roman" w:cs="宋体"/>
      <w:sz w:val="24"/>
      <w:szCs w:val="24"/>
    </w:rPr>
  </w:style>
  <w:style w:type="paragraph" w:styleId="1174" w:customStyle="1">
    <w:name w:val="普通(网站)11"/>
    <w:basedOn w:val="662"/>
    <w:uiPriority w:val="99"/>
    <w:qFormat/>
    <w:rPr>
      <w:sz w:val="24"/>
    </w:rPr>
  </w:style>
  <w:style w:type="paragraph" w:styleId="117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176" w:customStyle="1">
    <w:name w:val="正文111"/>
    <w:next w:val="117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7" w:customStyle="1">
    <w:name w:val="正文文本缩进11"/>
    <w:basedOn w:val="1178"/>
    <w:next w:val="1183"/>
    <w:uiPriority w:val="99"/>
    <w:qFormat/>
    <w:pPr>
      <w:ind w:left="420"/>
      <w:spacing w:after="120"/>
    </w:pPr>
  </w:style>
  <w:style w:type="paragraph" w:styleId="1178" w:customStyle="1">
    <w:name w:val="正文112"/>
    <w:next w:val="11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9" w:customStyle="1">
    <w:name w:val="正文首行缩进11"/>
    <w:basedOn w:val="1180"/>
    <w:next w:val="1182"/>
    <w:uiPriority w:val="0"/>
    <w:qFormat/>
    <w:pPr>
      <w:ind w:firstLine="420"/>
    </w:pPr>
    <w:rPr>
      <w:rFonts w:ascii="仿宋_GB2312" w:eastAsia="仿宋_GB2312"/>
      <w:sz w:val="30"/>
      <w:szCs w:val="30"/>
    </w:rPr>
  </w:style>
  <w:style w:type="paragraph" w:styleId="1180" w:customStyle="1">
    <w:name w:val="正文文本11"/>
    <w:basedOn w:val="1181"/>
    <w:next w:val="1178"/>
    <w:uiPriority w:val="0"/>
    <w:qFormat/>
    <w:pPr>
      <w:spacing w:after="120"/>
    </w:pPr>
  </w:style>
  <w:style w:type="paragraph" w:styleId="1181" w:customStyle="1">
    <w:name w:val="正文12"/>
    <w:next w:val="1180"/>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182" w:customStyle="1">
    <w:name w:val="正文首行缩进 211"/>
    <w:basedOn w:val="1177"/>
    <w:uiPriority w:val="99"/>
    <w:qFormat/>
    <w:pPr>
      <w:ind w:left="0" w:firstLine="420"/>
      <w:spacing w:after="0" w:line="360" w:lineRule="auto"/>
    </w:pPr>
    <w:rPr>
      <w:rFonts w:ascii="宋体" w:hAnsi="宋体"/>
    </w:rPr>
  </w:style>
  <w:style w:type="paragraph" w:styleId="1183" w:customStyle="1">
    <w:name w:val="寄信人地址11"/>
    <w:basedOn w:val="662"/>
    <w:uiPriority w:val="0"/>
    <w:qFormat/>
    <w:rPr>
      <w:rFonts w:ascii="Arial" w:hAnsi="Arial"/>
    </w:rPr>
  </w:style>
  <w:style w:type="paragraph" w:styleId="1184" w:customStyle="1">
    <w:name w:val="正文_25"/>
    <w:uiPriority w:val="0"/>
    <w:qFormat/>
    <w:pPr>
      <w:jc w:val="both"/>
      <w:widowControl w:val="off"/>
    </w:pPr>
    <w:rPr>
      <w:rFonts w:hint="default" w:ascii="Calibri" w:hAnsi="Calibri" w:eastAsia="宋体" w:cs="Times New Roman"/>
      <w:sz w:val="21"/>
      <w:szCs w:val="22"/>
      <w:lang w:val="en-US" w:eastAsia="zh-CN" w:bidi="ar-SA"/>
    </w:rPr>
  </w:style>
  <w:style w:type="paragraph" w:styleId="1185" w:customStyle="1">
    <w:name w:val="Header1"/>
    <w:basedOn w:val="720"/>
    <w:uiPriority w:val="99"/>
    <w:unhideWhenUsed/>
    <w:qFormat/>
    <w:pPr>
      <w:jc w:val="center"/>
      <w:tabs>
        <w:tab w:val="center" w:pos="4153" w:leader="none"/>
        <w:tab w:val="right" w:pos="8306" w:leader="none"/>
      </w:tabs>
      <w:pBdr>
        <w:bottom w:val="single" w:color="000000" w:sz="6" w:space="1"/>
      </w:pBdr>
    </w:pPr>
    <w:rPr>
      <w:rFonts w:ascii="Calibri" w:hAnsi="Calibri" w:eastAsia="宋体"/>
      <w:sz w:val="18"/>
      <w:szCs w:val="18"/>
    </w:rPr>
  </w:style>
  <w:style w:type="character" w:styleId="1186" w:customStyle="1">
    <w:name w:val="默认段落字体1"/>
    <w:link w:val="662"/>
    <w:uiPriority w:val="1"/>
    <w:unhideWhenUsed/>
    <w:qFormat/>
    <w:rPr>
      <w:rFonts w:ascii="Calibri" w:hAnsi="Calibri" w:eastAsia="宋体" w:cs="Times New Roman"/>
      <w:sz w:val="21"/>
      <w:szCs w:val="22"/>
      <w:lang w:val="en-US" w:eastAsia="zh-CN" w:bidi="ar-SA"/>
    </w:rPr>
  </w:style>
  <w:style w:type="paragraph" w:styleId="1187" w:customStyle="1">
    <w:name w:val="页眉1"/>
    <w:basedOn w:val="662"/>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188" w:customStyle="1">
    <w:name w:val="hover5"/>
    <w:basedOn w:val="672"/>
    <w:uiPriority w:val="0"/>
    <w:qFormat/>
    <w:rPr>
      <w:shd w:val="clear" w:color="auto" w:fill="eeeeee"/>
    </w:rPr>
  </w:style>
  <w:style w:type="character" w:styleId="1189" w:customStyle="1">
    <w:name w:val="old"/>
    <w:basedOn w:val="672"/>
    <w:uiPriority w:val="0"/>
    <w:qFormat/>
    <w:rPr>
      <w:color w:val="999999"/>
    </w:rPr>
  </w:style>
  <w:style w:type="character" w:styleId="1190" w:customStyle="1">
    <w:name w:val="glyphicon"/>
    <w:basedOn w:val="672"/>
    <w:uiPriority w:val="0"/>
    <w:qFormat/>
  </w:style>
  <w:style w:type="character" w:styleId="1191" w:customStyle="1">
    <w:name w:val="hour_pm"/>
    <w:basedOn w:val="672"/>
    <w:uiPriority w:val="0"/>
    <w:qFormat/>
  </w:style>
  <w:style w:type="character" w:styleId="1192" w:customStyle="1">
    <w:name w:val="hour_am"/>
    <w:basedOn w:val="672"/>
    <w:uiPriority w:val="0"/>
    <w:qFormat/>
  </w:style>
  <w:style w:type="character" w:styleId="1193" w:customStyle="1">
    <w:name w:val="layui-layer-tabnow"/>
    <w:basedOn w:val="672"/>
    <w:uiPriority w:val="0"/>
    <w:qFormat/>
    <w:rPr>
      <w:shd w:val="clear" w:color="auto" w:fill="ffffff"/>
    </w:rPr>
  </w:style>
  <w:style w:type="character" w:styleId="1194" w:customStyle="1">
    <w:name w:val="first-child"/>
    <w:basedOn w:val="672"/>
    <w:uiPriority w:val="0"/>
    <w:qFormat/>
  </w:style>
  <w:style w:type="paragraph" w:styleId="1195" w:customStyle="1">
    <w:name w:val="Table Text"/>
    <w:basedOn w:val="662"/>
    <w:uiPriority w:val="0"/>
    <w:semiHidden/>
    <w:qFormat/>
    <w:rPr>
      <w:rFonts w:ascii="宋体" w:hAnsi="宋体" w:eastAsia="宋体" w:cs="宋体"/>
      <w:sz w:val="24"/>
      <w:szCs w:val="24"/>
      <w:lang w:val="en-US" w:eastAsia="en-US" w:bidi="ar-SA"/>
    </w:rPr>
  </w:style>
  <w:style w:type="paragraph" w:styleId="1196" w:customStyle="1">
    <w:name w:val="纯文本12"/>
    <w:basedOn w:val="662"/>
    <w:uiPriority w:val="0"/>
    <w:qFormat/>
    <w:rPr>
      <w:rFonts w:ascii="宋体" w:hAnsi="Courier New"/>
      <w:szCs w:val="20"/>
    </w:rPr>
  </w:style>
  <w:style w:type="numbering" w:styleId="126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杜睿</cp:lastModifiedBy>
  <cp:revision>10</cp:revision>
  <dcterms:created xsi:type="dcterms:W3CDTF">2023-07-23T13:07:00Z</dcterms:created>
  <dcterms:modified xsi:type="dcterms:W3CDTF">2025-12-04T02:04:05Z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eyJoZGlkIjoiZGFlY2NjYjY0ZDEwMzg0ZjMyYzY3NDE4YWJiYTEyNGQiLCJ1c2VySWQiOiIzNjc4NDQ0MTgifQ==</vt:lpwstr>
  </property>
  <property fmtid="{D5CDD505-2E9C-101B-9397-08002B2CF9AE}" pid="3" name="KSOProductBuildVer">
    <vt:lpwstr>2052-12.1.0.23542</vt:lpwstr>
  </property>
  <property fmtid="{D5CDD505-2E9C-101B-9397-08002B2CF9AE}" pid="4" name="ICV">
    <vt:lpwstr>6121F00F013648C698C095FF7DDCE533_13</vt:lpwstr>
  </property>
</Properties>
</file>